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833D4F" w:rsidR="0034131E" w:rsidRDefault="00E660F9" w14:paraId="09D763F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hAnsi="Century Gothic" w:eastAsia="Century Gothic" w:cs="Century Gothic"/>
          <w:color w:val="000000"/>
          <w:sz w:val="28"/>
          <w:szCs w:val="28"/>
          <w:lang w:val="es-ES"/>
        </w:rPr>
      </w:pPr>
      <w:r w:rsidRPr="00833D4F">
        <w:rPr>
          <w:rFonts w:ascii="Century Gothic" w:hAnsi="Century Gothic" w:eastAsia="Century Gothic" w:cs="Century Gothic"/>
          <w:b/>
          <w:color w:val="000000"/>
          <w:sz w:val="28"/>
          <w:szCs w:val="28"/>
          <w:lang w:val="es-ES"/>
        </w:rPr>
        <w:t>Nota de prensa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6699C207">
            <wp:simplePos x="0" y="0"/>
            <wp:positionH relativeFrom="column">
              <wp:posOffset>-19685</wp:posOffset>
            </wp:positionH>
            <wp:positionV relativeFrom="paragraph">
              <wp:posOffset>-345438</wp:posOffset>
            </wp:positionV>
            <wp:extent cx="1421763" cy="878208"/>
            <wp:effectExtent l="0" t="0" r="0" b="0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63" cy="87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833D4F" w:rsidR="0034131E" w:rsidP="4C519343" w:rsidRDefault="00DF1697" w14:paraId="2721C22F" w14:textId="0EA37E0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54" w:lineRule="auto"/>
        <w:jc w:val="right"/>
        <w:rPr>
          <w:rFonts w:ascii="Century Gothic" w:hAnsi="Century Gothic" w:eastAsia="Century Gothic" w:cs="Century Gothic"/>
          <w:color w:val="000000"/>
          <w:sz w:val="28"/>
          <w:szCs w:val="28"/>
          <w:lang w:val="es-ES"/>
        </w:rPr>
      </w:pPr>
      <w:r w:rsidRPr="4C519343" w:rsidR="698867F5">
        <w:rPr>
          <w:rFonts w:ascii="Century Gothic" w:hAnsi="Century Gothic" w:eastAsia="Century Gothic" w:cs="Century Gothic"/>
          <w:color w:val="000000" w:themeColor="text1" w:themeTint="FF" w:themeShade="FF"/>
          <w:sz w:val="22"/>
          <w:szCs w:val="22"/>
          <w:lang w:val="es-ES"/>
        </w:rPr>
        <w:t>17</w:t>
      </w:r>
      <w:r w:rsidRPr="4C519343" w:rsidR="6EB91F3B">
        <w:rPr>
          <w:rFonts w:ascii="Century Gothic" w:hAnsi="Century Gothic" w:eastAsia="Century Gothic" w:cs="Century Gothic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4C519343" w:rsidR="00E660F9">
        <w:rPr>
          <w:rFonts w:ascii="Century Gothic" w:hAnsi="Century Gothic" w:eastAsia="Century Gothic" w:cs="Century Gothic"/>
          <w:color w:val="000000" w:themeColor="text1" w:themeTint="FF" w:themeShade="FF"/>
          <w:sz w:val="22"/>
          <w:szCs w:val="22"/>
          <w:lang w:val="es-ES"/>
        </w:rPr>
        <w:t xml:space="preserve">de </w:t>
      </w:r>
      <w:r w:rsidRPr="4C519343" w:rsidR="00DF1697">
        <w:rPr>
          <w:rFonts w:ascii="Century Gothic" w:hAnsi="Century Gothic" w:eastAsia="Century Gothic" w:cs="Century Gothic"/>
          <w:color w:val="000000" w:themeColor="text1" w:themeTint="FF" w:themeShade="FF"/>
          <w:sz w:val="22"/>
          <w:szCs w:val="22"/>
          <w:lang w:val="es-ES"/>
        </w:rPr>
        <w:t>noviembre</w:t>
      </w:r>
      <w:r w:rsidRPr="4C519343" w:rsidR="00E660F9">
        <w:rPr>
          <w:rFonts w:ascii="Century Gothic" w:hAnsi="Century Gothic" w:eastAsia="Century Gothic" w:cs="Century Gothic"/>
          <w:color w:val="000000" w:themeColor="text1" w:themeTint="FF" w:themeShade="FF"/>
          <w:sz w:val="22"/>
          <w:szCs w:val="22"/>
          <w:lang w:val="es-ES"/>
        </w:rPr>
        <w:t xml:space="preserve"> de 2025</w:t>
      </w:r>
    </w:p>
    <w:p w:rsidRPr="00833D4F" w:rsidR="0034131E" w:rsidRDefault="0034131E" w14:paraId="5523504D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hAnsi="Century Gothic" w:eastAsia="Century Gothic" w:cs="Century Gothic"/>
          <w:color w:val="162056"/>
          <w:sz w:val="48"/>
          <w:szCs w:val="48"/>
          <w:lang w:val="es-ES"/>
        </w:rPr>
      </w:pPr>
    </w:p>
    <w:p w:rsidR="00022255" w:rsidRDefault="00AE6FF0" w14:paraId="6D96D09C" w14:textId="68277CAF">
      <w:pPr>
        <w:jc w:val="center"/>
        <w:rPr>
          <w:rFonts w:ascii="Century Gothic" w:hAnsi="Century Gothic" w:eastAsia="Century Gothic" w:cs="Century Gothic"/>
          <w:color w:val="000000"/>
          <w:sz w:val="44"/>
          <w:szCs w:val="44"/>
        </w:rPr>
      </w:pPr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La distancia al </w:t>
      </w:r>
      <w:proofErr w:type="spellStart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>trabajo</w:t>
      </w:r>
      <w:proofErr w:type="spellEnd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 </w:t>
      </w:r>
      <w:proofErr w:type="spellStart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>afecta</w:t>
      </w:r>
      <w:proofErr w:type="spellEnd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 al 62 % de </w:t>
      </w:r>
      <w:r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los </w:t>
      </w:r>
      <w:proofErr w:type="spellStart"/>
      <w:r>
        <w:rPr>
          <w:rFonts w:ascii="Century Gothic" w:hAnsi="Century Gothic" w:eastAsia="Century Gothic" w:cs="Century Gothic"/>
          <w:color w:val="000000"/>
          <w:sz w:val="44"/>
          <w:szCs w:val="44"/>
        </w:rPr>
        <w:t>españoles</w:t>
      </w:r>
      <w:proofErr w:type="spellEnd"/>
      <w:r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 </w:t>
      </w:r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y </w:t>
      </w:r>
      <w:proofErr w:type="spellStart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>amenaza</w:t>
      </w:r>
      <w:proofErr w:type="spellEnd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 la </w:t>
      </w:r>
      <w:proofErr w:type="spellStart"/>
      <w:r>
        <w:rPr>
          <w:rFonts w:ascii="Century Gothic" w:hAnsi="Century Gothic" w:eastAsia="Century Gothic" w:cs="Century Gothic"/>
          <w:color w:val="000000"/>
          <w:sz w:val="44"/>
          <w:szCs w:val="44"/>
        </w:rPr>
        <w:t>fidelización</w:t>
      </w:r>
      <w:proofErr w:type="spellEnd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 xml:space="preserve"> del </w:t>
      </w:r>
      <w:proofErr w:type="spellStart"/>
      <w:r w:rsidRPr="00AE6FF0">
        <w:rPr>
          <w:rFonts w:ascii="Century Gothic" w:hAnsi="Century Gothic" w:eastAsia="Century Gothic" w:cs="Century Gothic"/>
          <w:color w:val="000000"/>
          <w:sz w:val="44"/>
          <w:szCs w:val="44"/>
        </w:rPr>
        <w:t>talento</w:t>
      </w:r>
      <w:proofErr w:type="spellEnd"/>
    </w:p>
    <w:p w:rsidRPr="00833D4F" w:rsidR="00AE6FF0" w:rsidRDefault="00AE6FF0" w14:paraId="5ECE8FCD" w14:textId="77777777">
      <w:pPr>
        <w:jc w:val="center"/>
        <w:rPr>
          <w:rFonts w:ascii="Century Gothic" w:hAnsi="Century Gothic" w:eastAsia="Century Gothic" w:cs="Century Gothic"/>
          <w:b/>
          <w:color w:val="000000"/>
          <w:sz w:val="44"/>
          <w:szCs w:val="44"/>
          <w:lang w:val="es-ES"/>
        </w:rPr>
      </w:pPr>
    </w:p>
    <w:p w:rsidRPr="00BB29B5" w:rsidR="005D09EE" w:rsidP="369F593A" w:rsidRDefault="008C5C42" w14:paraId="3330BBDC" w14:textId="3D25B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369F593A">
        <w:rPr>
          <w:rFonts w:ascii="Century Gothic" w:hAnsi="Century Gothic" w:cs="Century Gothic"/>
          <w:b/>
          <w:bCs/>
          <w:color w:val="000000" w:themeColor="text1"/>
        </w:rPr>
        <w:t>L</w:t>
      </w:r>
      <w:r w:rsidRPr="369F593A" w:rsidR="00350B2A">
        <w:rPr>
          <w:rFonts w:ascii="Century Gothic" w:hAnsi="Century Gothic" w:cs="Century Gothic"/>
          <w:b/>
          <w:bCs/>
          <w:color w:val="000000" w:themeColor="text1"/>
        </w:rPr>
        <w:t xml:space="preserve">a Generación Z </w:t>
      </w:r>
      <w:r w:rsidRPr="369F593A">
        <w:rPr>
          <w:rFonts w:ascii="Century Gothic" w:hAnsi="Century Gothic" w:cs="Century Gothic"/>
          <w:b/>
          <w:bCs/>
          <w:color w:val="000000" w:themeColor="text1"/>
        </w:rPr>
        <w:t>(</w:t>
      </w:r>
      <w:r w:rsidRPr="369F593A" w:rsidR="1DD92EDD">
        <w:rPr>
          <w:rFonts w:ascii="Century Gothic" w:hAnsi="Century Gothic" w:cs="Century Gothic"/>
          <w:b/>
          <w:bCs/>
          <w:color w:val="000000" w:themeColor="text1"/>
        </w:rPr>
        <w:t xml:space="preserve">de los </w:t>
      </w:r>
      <w:r w:rsidRPr="369F593A" w:rsidR="00350B2A">
        <w:rPr>
          <w:rFonts w:ascii="Century Gothic" w:hAnsi="Century Gothic" w:cs="Century Gothic"/>
          <w:b/>
          <w:bCs/>
          <w:color w:val="000000" w:themeColor="text1"/>
        </w:rPr>
        <w:t>18</w:t>
      </w:r>
      <w:r w:rsidRPr="369F593A" w:rsidR="41641B85">
        <w:rPr>
          <w:rFonts w:ascii="Century Gothic" w:hAnsi="Century Gothic" w:cs="Century Gothic"/>
          <w:b/>
          <w:bCs/>
          <w:color w:val="000000" w:themeColor="text1"/>
        </w:rPr>
        <w:t xml:space="preserve"> a los </w:t>
      </w:r>
      <w:r w:rsidRPr="369F593A" w:rsidR="00350B2A">
        <w:rPr>
          <w:rFonts w:ascii="Century Gothic" w:hAnsi="Century Gothic" w:cs="Century Gothic"/>
          <w:b/>
          <w:bCs/>
          <w:color w:val="000000" w:themeColor="text1"/>
        </w:rPr>
        <w:t>24</w:t>
      </w:r>
      <w:r w:rsidRPr="369F593A">
        <w:rPr>
          <w:rFonts w:ascii="Century Gothic" w:hAnsi="Century Gothic" w:cs="Century Gothic"/>
          <w:b/>
          <w:bCs/>
          <w:color w:val="000000" w:themeColor="text1"/>
        </w:rPr>
        <w:t xml:space="preserve"> años) son los más afectados: un </w:t>
      </w:r>
      <w:r w:rsidRPr="369F593A" w:rsidR="00A51A29">
        <w:rPr>
          <w:rFonts w:ascii="Century Gothic" w:hAnsi="Century Gothic" w:cs="Century Gothic"/>
          <w:b/>
          <w:bCs/>
          <w:color w:val="000000" w:themeColor="text1"/>
        </w:rPr>
        <w:t>70</w:t>
      </w:r>
      <w:r w:rsidRPr="369F593A">
        <w:rPr>
          <w:rFonts w:ascii="Century Gothic" w:hAnsi="Century Gothic" w:cs="Century Gothic"/>
          <w:b/>
          <w:bCs/>
          <w:color w:val="000000" w:themeColor="text1"/>
        </w:rPr>
        <w:t xml:space="preserve"> % afirma que el trayecto diario limita su equilibrio entre vida laboral y personal</w:t>
      </w:r>
      <w:r w:rsidRPr="369F593A" w:rsidR="09EFB7A2">
        <w:rPr>
          <w:rFonts w:ascii="Century Gothic" w:hAnsi="Century Gothic" w:cs="Century Gothic"/>
          <w:b/>
          <w:bCs/>
          <w:color w:val="000000" w:themeColor="text1"/>
        </w:rPr>
        <w:t>.</w:t>
      </w:r>
    </w:p>
    <w:p w:rsidRPr="00A514EC" w:rsidR="00BB29B5" w:rsidP="00BB29B5" w:rsidRDefault="00BB29B5" w14:paraId="3785922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:rsidRPr="00A95D2A" w:rsidR="00A514EC" w:rsidP="369F593A" w:rsidRDefault="00A514EC" w14:paraId="07CB2F56" w14:textId="1D20A5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369F593A">
        <w:rPr>
          <w:rFonts w:ascii="Century Gothic" w:hAnsi="Century Gothic" w:cs="Century Gothic"/>
          <w:b/>
          <w:bCs/>
          <w:color w:val="000000" w:themeColor="text1"/>
        </w:rPr>
        <w:t xml:space="preserve">Más de la mitad de los españoles (52 %) considera la conciliación un factor decisivo para elegir </w:t>
      </w:r>
      <w:r w:rsidRPr="369F593A" w:rsidR="383814D8">
        <w:rPr>
          <w:rFonts w:ascii="Century Gothic" w:hAnsi="Century Gothic" w:cs="Century Gothic"/>
          <w:b/>
          <w:bCs/>
          <w:color w:val="000000" w:themeColor="text1"/>
        </w:rPr>
        <w:t>a una empresa o</w:t>
      </w:r>
      <w:r w:rsidRPr="369F593A">
        <w:rPr>
          <w:rFonts w:ascii="Century Gothic" w:hAnsi="Century Gothic" w:cs="Century Gothic"/>
          <w:b/>
          <w:bCs/>
          <w:color w:val="000000" w:themeColor="text1"/>
        </w:rPr>
        <w:t xml:space="preserve"> permanecer en </w:t>
      </w:r>
      <w:r w:rsidRPr="369F593A" w:rsidR="374C9155">
        <w:rPr>
          <w:rFonts w:ascii="Century Gothic" w:hAnsi="Century Gothic" w:cs="Century Gothic"/>
          <w:b/>
          <w:bCs/>
          <w:color w:val="000000" w:themeColor="text1"/>
        </w:rPr>
        <w:t>ell</w:t>
      </w:r>
      <w:r w:rsidRPr="369F593A">
        <w:rPr>
          <w:rFonts w:ascii="Century Gothic" w:hAnsi="Century Gothic" w:cs="Century Gothic"/>
          <w:b/>
          <w:bCs/>
          <w:color w:val="000000" w:themeColor="text1"/>
        </w:rPr>
        <w:t>a</w:t>
      </w:r>
      <w:r w:rsidRPr="369F593A" w:rsidR="002AC8F9">
        <w:rPr>
          <w:rFonts w:ascii="Century Gothic" w:hAnsi="Century Gothic" w:cs="Century Gothic"/>
          <w:b/>
          <w:bCs/>
          <w:color w:val="000000" w:themeColor="text1"/>
        </w:rPr>
        <w:t>.</w:t>
      </w:r>
    </w:p>
    <w:p w:rsidR="00A95D2A" w:rsidP="00A95D2A" w:rsidRDefault="00A95D2A" w14:paraId="4618A9F9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:rsidRPr="00833D4F" w:rsidR="005D09EE" w:rsidP="4C519343" w:rsidRDefault="005D09EE" w14:paraId="3DD4C914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720"/>
        <w:jc w:val="both"/>
        <w:rPr>
          <w:lang w:val="es-ES"/>
        </w:rPr>
      </w:pPr>
    </w:p>
    <w:p w:rsidR="00D60657" w:rsidP="00D60657" w:rsidRDefault="00D60657" w14:paraId="40D2C0ED" w14:textId="6BA7E2C4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El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pasado</w:t>
      </w:r>
      <w:r w:rsidRPr="4C519343" w:rsidR="32194533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 </w:t>
      </w:r>
      <w:r w:rsidRPr="4C519343" w:rsidR="06500D15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13 d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e</w:t>
      </w:r>
      <w:r w:rsidRPr="4C519343" w:rsidR="6741401F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 noviembre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,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 el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Congreso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aprobó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la nueva </w:t>
      </w:r>
      <w:r w:rsidRPr="4C519343" w:rsidR="00D60657">
        <w:rPr>
          <w:rFonts w:ascii="Century Gothic" w:hAnsi="Century Gothic" w:eastAsia="Century Gothic" w:cs="Century Gothic"/>
          <w:b w:val="1"/>
          <w:bCs w:val="1"/>
          <w:color w:val="000000" w:themeColor="text1" w:themeTint="FF" w:themeShade="FF"/>
          <w:lang w:val="es-ES"/>
        </w:rPr>
        <w:t>Ley de Movilidad Sostenible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, que reconoce la movilidad como un derecho ciudadano e introduce la obligación para las empresas de elaborar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planes</w:t>
      </w:r>
      <w:r w:rsidRPr="4C519343" w:rsidR="2DD14E72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 de movilidad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 </w:t>
      </w:r>
      <w:r w:rsidRPr="4C519343" w:rsidR="695CCEFC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sostenible </w:t>
      </w:r>
      <w:r w:rsidRPr="4C519343" w:rsidR="50EFDBEC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(</w:t>
      </w:r>
      <w:r w:rsidRPr="4C519343" w:rsidR="695CCEFC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al </w:t>
      </w:r>
      <w:r w:rsidRPr="4C519343" w:rsidR="695CCEFC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trabajo</w:t>
      </w:r>
      <w:r w:rsidRPr="4C519343" w:rsidR="654E381F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) 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 xml:space="preserve">que impulsen formas de desplazamiento más </w:t>
      </w:r>
      <w:r w:rsidRPr="4C519343" w:rsidR="128CF391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eficientes y con menor impacto ambiental</w:t>
      </w:r>
      <w:r w:rsidRPr="4C519343" w:rsidR="00D60657">
        <w:rPr>
          <w:rFonts w:ascii="Century Gothic" w:hAnsi="Century Gothic" w:eastAsia="Century Gothic" w:cs="Century Gothic"/>
          <w:color w:val="000000" w:themeColor="text1" w:themeTint="FF" w:themeShade="FF"/>
          <w:lang w:val="es-ES"/>
        </w:rPr>
        <w:t>: a pie, en bicicleta, en transporte público o mediante coche compartido. Una medida que puede tener un impacto directo en el bienestar y la conciliación de los equipos.</w:t>
      </w:r>
    </w:p>
    <w:p w:rsidRPr="00D60657" w:rsidR="00A446DD" w:rsidP="00D60657" w:rsidRDefault="00A446DD" w14:paraId="1D8002FE" w14:textId="77777777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</w:p>
    <w:p w:rsidR="00F43594" w:rsidP="00F43594" w:rsidRDefault="00D60657" w14:paraId="2CF748BE" w14:textId="2D354F6C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D60657">
        <w:rPr>
          <w:rFonts w:ascii="Century Gothic" w:hAnsi="Century Gothic" w:eastAsia="Century Gothic" w:cs="Century Gothic"/>
          <w:color w:val="000000"/>
          <w:lang w:val="es-ES"/>
        </w:rPr>
        <w:t xml:space="preserve">Según el último </w:t>
      </w:r>
      <w:r w:rsidRPr="00D60657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Estudio de </w:t>
      </w:r>
      <w:r w:rsidR="00A446DD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Bienestar y Salud laboral </w:t>
      </w:r>
      <w:r w:rsidRPr="00D60657">
        <w:rPr>
          <w:rFonts w:ascii="Century Gothic" w:hAnsi="Century Gothic" w:eastAsia="Century Gothic" w:cs="Century Gothic"/>
          <w:b/>
          <w:bCs/>
          <w:color w:val="000000"/>
          <w:lang w:val="es-ES"/>
        </w:rPr>
        <w:t>de Edenred</w:t>
      </w:r>
      <w:r w:rsidRPr="00D60657">
        <w:rPr>
          <w:rFonts w:ascii="Century Gothic" w:hAnsi="Century Gothic" w:eastAsia="Century Gothic" w:cs="Century Gothic"/>
          <w:color w:val="000000"/>
          <w:lang w:val="es-ES"/>
        </w:rPr>
        <w:t>,</w:t>
      </w:r>
      <w:r w:rsidR="00C53F92">
        <w:rPr>
          <w:rFonts w:ascii="Century Gothic" w:hAnsi="Century Gothic" w:eastAsia="Century Gothic" w:cs="Century Gothic"/>
          <w:color w:val="000000"/>
          <w:lang w:val="es-ES"/>
        </w:rPr>
        <w:t xml:space="preserve"> </w:t>
      </w:r>
      <w:proofErr w:type="spellStart"/>
      <w:r w:rsidRPr="00F964D3" w:rsidR="00F964D3">
        <w:rPr>
          <w:rFonts w:ascii="Century Gothic" w:hAnsi="Century Gothic" w:eastAsia="Century Gothic" w:cs="Century Gothic"/>
          <w:color w:val="000000"/>
        </w:rPr>
        <w:t>plataforma</w:t>
      </w:r>
      <w:proofErr w:type="spellEnd"/>
      <w:r w:rsidRPr="00F964D3" w:rsidR="00F964D3">
        <w:rPr>
          <w:rFonts w:ascii="Century Gothic" w:hAnsi="Century Gothic" w:eastAsia="Century Gothic" w:cs="Century Gothic"/>
          <w:color w:val="000000"/>
        </w:rPr>
        <w:t xml:space="preserve"> digital </w:t>
      </w:r>
      <w:proofErr w:type="spellStart"/>
      <w:r w:rsidRPr="00F964D3" w:rsidR="00F964D3">
        <w:rPr>
          <w:rFonts w:ascii="Century Gothic" w:hAnsi="Century Gothic" w:eastAsia="Century Gothic" w:cs="Century Gothic"/>
          <w:color w:val="000000"/>
        </w:rPr>
        <w:t>multisolución</w:t>
      </w:r>
      <w:proofErr w:type="spellEnd"/>
      <w:r w:rsidRPr="00F964D3" w:rsidR="00F964D3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964D3" w:rsidR="00F964D3">
        <w:rPr>
          <w:rFonts w:ascii="Century Gothic" w:hAnsi="Century Gothic" w:eastAsia="Century Gothic" w:cs="Century Gothic"/>
          <w:color w:val="000000"/>
        </w:rPr>
        <w:t>especializada</w:t>
      </w:r>
      <w:proofErr w:type="spellEnd"/>
      <w:r w:rsidRPr="00F964D3" w:rsidR="00F964D3">
        <w:rPr>
          <w:rFonts w:ascii="Century Gothic" w:hAnsi="Century Gothic" w:eastAsia="Century Gothic" w:cs="Century Gothic"/>
          <w:color w:val="000000"/>
        </w:rPr>
        <w:t xml:space="preserve"> en </w:t>
      </w:r>
      <w:proofErr w:type="spellStart"/>
      <w:r w:rsidRPr="00F964D3" w:rsidR="00F964D3">
        <w:rPr>
          <w:rFonts w:ascii="Century Gothic" w:hAnsi="Century Gothic" w:eastAsia="Century Gothic" w:cs="Century Gothic"/>
          <w:color w:val="000000"/>
        </w:rPr>
        <w:t>beneficios</w:t>
      </w:r>
      <w:proofErr w:type="spellEnd"/>
      <w:r w:rsidRPr="00F964D3" w:rsidR="00F964D3">
        <w:rPr>
          <w:rFonts w:ascii="Century Gothic" w:hAnsi="Century Gothic" w:eastAsia="Century Gothic" w:cs="Century Gothic"/>
          <w:color w:val="000000"/>
        </w:rPr>
        <w:t xml:space="preserve"> sociales y </w:t>
      </w:r>
      <w:proofErr w:type="spellStart"/>
      <w:r w:rsidRPr="00F964D3" w:rsidR="00F964D3">
        <w:rPr>
          <w:rFonts w:ascii="Century Gothic" w:hAnsi="Century Gothic" w:eastAsia="Century Gothic" w:cs="Century Gothic"/>
          <w:color w:val="000000"/>
        </w:rPr>
        <w:t>employee</w:t>
      </w:r>
      <w:proofErr w:type="spellEnd"/>
      <w:r w:rsidRPr="00F964D3" w:rsidR="00F964D3">
        <w:rPr>
          <w:rFonts w:ascii="Century Gothic" w:hAnsi="Century Gothic" w:eastAsia="Century Gothic" w:cs="Century Gothic"/>
          <w:color w:val="000000"/>
        </w:rPr>
        <w:t xml:space="preserve"> engagement,</w:t>
      </w:r>
      <w:r w:rsidR="00A446DD">
        <w:rPr>
          <w:rFonts w:ascii="Century Gothic" w:hAnsi="Century Gothic" w:eastAsia="Century Gothic" w:cs="Century Gothic"/>
          <w:color w:val="000000"/>
          <w:lang w:val="es-ES"/>
        </w:rPr>
        <w:t xml:space="preserve"> junto a Savia,</w:t>
      </w:r>
      <w:r w:rsidRPr="00F43594" w:rsidR="00F43594">
        <w:rPr>
          <w:rFonts w:ascii="Century Gothic" w:hAnsi="Century Gothic" w:cs="Century Gothic"/>
          <w:b/>
          <w:bCs/>
          <w:color w:val="000000"/>
          <w:lang w:val="es-ES"/>
        </w:rPr>
        <w:t xml:space="preserve"> el 62,4 % </w:t>
      </w:r>
      <w:r w:rsidRPr="00F43594" w:rsidR="00F43594">
        <w:rPr>
          <w:rFonts w:ascii="Century Gothic" w:hAnsi="Century Gothic" w:cs="Century Gothic"/>
          <w:color w:val="000000"/>
          <w:lang w:val="es-ES"/>
        </w:rPr>
        <w:t>de los profesionales españoles</w:t>
      </w:r>
      <w:r w:rsidRPr="00F43594" w:rsidR="00F43594">
        <w:rPr>
          <w:rFonts w:ascii="Century Gothic" w:hAnsi="Century Gothic" w:cs="Century Gothic"/>
          <w:b/>
          <w:bCs/>
          <w:color w:val="000000"/>
          <w:lang w:val="es-ES"/>
        </w:rPr>
        <w:t xml:space="preserve"> considera que el desplazamiento a su lugar de trabajo supone una barrera directa para la conciliación entre su vida personal y profesional. </w:t>
      </w:r>
      <w:r w:rsidRPr="00E87CFB" w:rsidR="00F43594">
        <w:rPr>
          <w:rFonts w:ascii="Century Gothic" w:hAnsi="Century Gothic" w:cs="Century Gothic"/>
          <w:color w:val="000000"/>
          <w:lang w:val="es-ES"/>
        </w:rPr>
        <w:t>Esta percepción es todavía mayor entre las mujeres, donde alcanza el 65,1 %, frente al 59,9 % de los hombres.</w:t>
      </w:r>
    </w:p>
    <w:p w:rsidRPr="00F43594" w:rsidR="00F43594" w:rsidP="00F43594" w:rsidRDefault="00F43594" w14:paraId="600B879D" w14:textId="77777777">
      <w:pPr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:rsidR="001D2A91" w:rsidP="00F43594" w:rsidRDefault="000A4CBF" w14:paraId="1A4F55D9" w14:textId="034DF134">
      <w:pPr>
        <w:jc w:val="both"/>
        <w:rPr>
          <w:rFonts w:ascii="Century Gothic" w:hAnsi="Century Gothic" w:eastAsia="Century Gothic" w:cs="Century Gothic"/>
          <w:color w:val="000000"/>
        </w:rPr>
      </w:pPr>
      <w:r w:rsidRPr="000A4CBF">
        <w:rPr>
          <w:rFonts w:ascii="Century Gothic" w:hAnsi="Century Gothic" w:eastAsia="Century Gothic" w:cs="Century Gothic"/>
          <w:color w:val="000000"/>
        </w:rPr>
        <w:t xml:space="preserve">El mapa territorial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refuerza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esta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realidad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. </w:t>
      </w:r>
      <w:r w:rsidRPr="000A4CBF">
        <w:rPr>
          <w:rFonts w:ascii="Century Gothic" w:hAnsi="Century Gothic" w:eastAsia="Century Gothic" w:cs="Century Gothic"/>
          <w:b/>
          <w:bCs/>
          <w:color w:val="000000"/>
        </w:rPr>
        <w:t xml:space="preserve">Madrid (69,4 %) y </w:t>
      </w:r>
      <w:proofErr w:type="spellStart"/>
      <w:r w:rsidRPr="000A4CBF">
        <w:rPr>
          <w:rFonts w:ascii="Century Gothic" w:hAnsi="Century Gothic" w:eastAsia="Century Gothic" w:cs="Century Gothic"/>
          <w:b/>
          <w:bCs/>
          <w:color w:val="000000"/>
        </w:rPr>
        <w:t>Cataluña</w:t>
      </w:r>
      <w:proofErr w:type="spellEnd"/>
      <w:r w:rsidRPr="000A4CBF">
        <w:rPr>
          <w:rFonts w:ascii="Century Gothic" w:hAnsi="Century Gothic" w:eastAsia="Century Gothic" w:cs="Century Gothic"/>
          <w:b/>
          <w:bCs/>
          <w:color w:val="000000"/>
        </w:rPr>
        <w:t xml:space="preserve"> (69,0 %)</w:t>
      </w:r>
      <w:r w:rsidRPr="000A4CBF">
        <w:rPr>
          <w:rFonts w:ascii="Century Gothic" w:hAnsi="Century Gothic" w:eastAsia="Century Gothic" w:cs="Century Gothic"/>
          <w:color w:val="000000"/>
        </w:rPr>
        <w:t xml:space="preserve"> son los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territorios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donde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el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trayecto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erosiona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más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el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bienestar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diario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, </w:t>
      </w:r>
      <w:proofErr w:type="spellStart"/>
      <w:r w:rsidRPr="000A4CBF">
        <w:rPr>
          <w:rFonts w:ascii="Century Gothic" w:hAnsi="Century Gothic" w:eastAsia="Century Gothic" w:cs="Century Gothic"/>
          <w:color w:val="000000"/>
        </w:rPr>
        <w:t>seguidos</w:t>
      </w:r>
      <w:proofErr w:type="spellEnd"/>
      <w:r w:rsidRPr="000A4CBF">
        <w:rPr>
          <w:rFonts w:ascii="Century Gothic" w:hAnsi="Century Gothic" w:eastAsia="Century Gothic" w:cs="Century Gothic"/>
          <w:color w:val="000000"/>
        </w:rPr>
        <w:t xml:space="preserve"> de </w:t>
      </w:r>
      <w:proofErr w:type="spellStart"/>
      <w:r w:rsidRPr="000A4CBF">
        <w:rPr>
          <w:rFonts w:ascii="Century Gothic" w:hAnsi="Century Gothic" w:eastAsia="Century Gothic" w:cs="Century Gothic"/>
          <w:b/>
          <w:bCs/>
          <w:color w:val="000000"/>
        </w:rPr>
        <w:t>Comunidad</w:t>
      </w:r>
      <w:proofErr w:type="spellEnd"/>
      <w:r w:rsidRPr="000A4CBF">
        <w:rPr>
          <w:rFonts w:ascii="Century Gothic" w:hAnsi="Century Gothic" w:eastAsia="Century Gothic" w:cs="Century Gothic"/>
          <w:b/>
          <w:bCs/>
          <w:color w:val="000000"/>
        </w:rPr>
        <w:t xml:space="preserve"> </w:t>
      </w:r>
      <w:proofErr w:type="spellStart"/>
      <w:r w:rsidRPr="000A4CBF">
        <w:rPr>
          <w:rFonts w:ascii="Century Gothic" w:hAnsi="Century Gothic" w:eastAsia="Century Gothic" w:cs="Century Gothic"/>
          <w:b/>
          <w:bCs/>
          <w:color w:val="000000"/>
        </w:rPr>
        <w:t>Valenciana</w:t>
      </w:r>
      <w:proofErr w:type="spellEnd"/>
      <w:r w:rsidRPr="000A4CBF">
        <w:rPr>
          <w:rFonts w:ascii="Century Gothic" w:hAnsi="Century Gothic" w:eastAsia="Century Gothic" w:cs="Century Gothic"/>
          <w:b/>
          <w:bCs/>
          <w:color w:val="000000"/>
        </w:rPr>
        <w:t xml:space="preserve"> (60,9 %)</w:t>
      </w:r>
      <w:r w:rsidRPr="000A4CBF">
        <w:rPr>
          <w:rFonts w:ascii="Century Gothic" w:hAnsi="Century Gothic" w:eastAsia="Century Gothic" w:cs="Century Gothic"/>
          <w:color w:val="000000"/>
        </w:rPr>
        <w:t xml:space="preserve"> y </w:t>
      </w:r>
      <w:proofErr w:type="spellStart"/>
      <w:r w:rsidRPr="000A4CBF">
        <w:rPr>
          <w:rFonts w:ascii="Century Gothic" w:hAnsi="Century Gothic" w:eastAsia="Century Gothic" w:cs="Century Gothic"/>
          <w:b/>
          <w:bCs/>
          <w:color w:val="000000"/>
        </w:rPr>
        <w:t>Andalucía</w:t>
      </w:r>
      <w:proofErr w:type="spellEnd"/>
      <w:r w:rsidRPr="000A4CBF">
        <w:rPr>
          <w:rFonts w:ascii="Century Gothic" w:hAnsi="Century Gothic" w:eastAsia="Century Gothic" w:cs="Century Gothic"/>
          <w:b/>
          <w:bCs/>
          <w:color w:val="000000"/>
        </w:rPr>
        <w:t xml:space="preserve"> (57,7 %)</w:t>
      </w:r>
      <w:r w:rsidRPr="000A4CBF">
        <w:rPr>
          <w:rFonts w:ascii="Century Gothic" w:hAnsi="Century Gothic" w:eastAsia="Century Gothic" w:cs="Century Gothic"/>
          <w:color w:val="000000"/>
        </w:rPr>
        <w:t>.</w:t>
      </w:r>
    </w:p>
    <w:p w:rsidR="000A4CBF" w:rsidP="00F43594" w:rsidRDefault="000A4CBF" w14:paraId="1227EDB9" w14:textId="77777777">
      <w:pPr>
        <w:jc w:val="both"/>
        <w:rPr>
          <w:rFonts w:ascii="Century Gothic" w:hAnsi="Century Gothic" w:eastAsia="Century Gothic" w:cs="Century Gothic"/>
          <w:b/>
          <w:bCs/>
          <w:color w:val="000000"/>
          <w:lang w:val="es-ES"/>
        </w:rPr>
      </w:pPr>
    </w:p>
    <w:p w:rsidR="00A12632" w:rsidP="00F43594" w:rsidRDefault="00F43594" w14:paraId="696B0111" w14:textId="47F7ADAF">
      <w:pPr>
        <w:jc w:val="both"/>
        <w:rPr>
          <w:rFonts w:ascii="Century Gothic" w:hAnsi="Century Gothic" w:eastAsia="Century Gothic" w:cs="Century Gothic"/>
          <w:color w:val="000000"/>
        </w:rPr>
      </w:pPr>
      <w:r w:rsidRPr="369F593A">
        <w:rPr>
          <w:rFonts w:ascii="Century Gothic" w:hAnsi="Century Gothic" w:eastAsia="Century Gothic" w:cs="Century Gothic"/>
          <w:color w:val="000000" w:themeColor="text1"/>
          <w:lang w:val="es-ES"/>
        </w:rPr>
        <w:t xml:space="preserve">Por generaciones, las más jóvenes son las que más sufren esta situación: </w:t>
      </w:r>
      <w:r w:rsidRPr="369F593A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siete de cada diez personas de la Generación Z (70 %)</w:t>
      </w:r>
      <w:r w:rsidRPr="369F593A">
        <w:rPr>
          <w:rFonts w:ascii="Century Gothic" w:hAnsi="Century Gothic" w:eastAsia="Century Gothic" w:cs="Century Gothic"/>
          <w:color w:val="000000" w:themeColor="text1"/>
          <w:lang w:val="es-ES"/>
        </w:rPr>
        <w:t xml:space="preserve"> y el </w:t>
      </w:r>
      <w:r w:rsidRPr="369F593A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 xml:space="preserve">68,5 % de los </w:t>
      </w:r>
      <w:r w:rsidRPr="369F593A" w:rsidR="001D2A91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M</w:t>
      </w:r>
      <w:r w:rsidRPr="369F593A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 xml:space="preserve">illennials jóvenes </w:t>
      </w:r>
      <w:r w:rsidRPr="369F593A" w:rsidR="001D2A91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(25-34</w:t>
      </w:r>
      <w:r w:rsidRPr="369F593A" w:rsidR="663B0077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 xml:space="preserve"> años</w:t>
      </w:r>
      <w:r w:rsidRPr="369F593A" w:rsidR="001D2A91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)</w:t>
      </w:r>
      <w:r w:rsidRPr="369F593A" w:rsidR="001D2A91">
        <w:rPr>
          <w:rFonts w:ascii="Century Gothic" w:hAnsi="Century Gothic" w:eastAsia="Century Gothic" w:cs="Century Gothic"/>
          <w:color w:val="000000" w:themeColor="text1"/>
          <w:lang w:val="es-ES"/>
        </w:rPr>
        <w:t xml:space="preserve"> </w:t>
      </w:r>
      <w:r w:rsidRPr="369F593A">
        <w:rPr>
          <w:rFonts w:ascii="Century Gothic" w:hAnsi="Century Gothic" w:eastAsia="Century Gothic" w:cs="Century Gothic"/>
          <w:color w:val="000000" w:themeColor="text1"/>
          <w:lang w:val="es-ES"/>
        </w:rPr>
        <w:t>consideran que la distancia al trabajo limita su equilibrio entre la vida profesional y personal.</w:t>
      </w:r>
      <w:r w:rsidRPr="369F593A" w:rsidR="00FC5675">
        <w:rPr>
          <w:rFonts w:ascii="Century Gothic" w:hAnsi="Century Gothic" w:eastAsia="Century Gothic" w:cs="Century Gothic"/>
          <w:color w:val="000000" w:themeColor="text1"/>
          <w:lang w:val="es-ES"/>
        </w:rPr>
        <w:t xml:space="preserve"> </w:t>
      </w:r>
      <w:r w:rsidRPr="369F593A" w:rsidR="00053526">
        <w:rPr>
          <w:rFonts w:ascii="Century Gothic" w:hAnsi="Century Gothic" w:eastAsia="Century Gothic" w:cs="Century Gothic"/>
          <w:color w:val="000000" w:themeColor="text1"/>
        </w:rPr>
        <w:t xml:space="preserve">Tras ellos, </w:t>
      </w:r>
      <w:r w:rsidRPr="369F593A" w:rsidR="00053526">
        <w:rPr>
          <w:rFonts w:ascii="Century Gothic" w:hAnsi="Century Gothic" w:eastAsia="Century Gothic" w:cs="Century Gothic"/>
          <w:b/>
          <w:bCs/>
          <w:color w:val="000000" w:themeColor="text1"/>
        </w:rPr>
        <w:t>los millennials mayores (35-44 años) se sitúan en el 67,62 %</w:t>
      </w:r>
      <w:r w:rsidRPr="369F593A" w:rsidR="00053526">
        <w:rPr>
          <w:rFonts w:ascii="Century Gothic" w:hAnsi="Century Gothic" w:eastAsia="Century Gothic" w:cs="Century Gothic"/>
          <w:color w:val="000000" w:themeColor="text1"/>
        </w:rPr>
        <w:t xml:space="preserve">. Con el paso del tiempo, el peso relativo del desplazamiento y la conciliación tiende a moderarse: </w:t>
      </w:r>
      <w:r w:rsidRPr="369F593A" w:rsidR="00053526">
        <w:rPr>
          <w:rFonts w:ascii="Century Gothic" w:hAnsi="Century Gothic" w:eastAsia="Century Gothic" w:cs="Century Gothic"/>
          <w:b/>
          <w:bCs/>
          <w:color w:val="000000" w:themeColor="text1"/>
        </w:rPr>
        <w:t>Baby Boomers (55-60 años), 62,59 %</w:t>
      </w:r>
      <w:r w:rsidRPr="369F593A" w:rsidR="00053526">
        <w:rPr>
          <w:rFonts w:ascii="Century Gothic" w:hAnsi="Century Gothic" w:eastAsia="Century Gothic" w:cs="Century Gothic"/>
          <w:color w:val="000000" w:themeColor="text1"/>
        </w:rPr>
        <w:t xml:space="preserve">, y </w:t>
      </w:r>
      <w:r w:rsidRPr="369F593A" w:rsidR="00053526">
        <w:rPr>
          <w:rFonts w:ascii="Century Gothic" w:hAnsi="Century Gothic" w:eastAsia="Century Gothic" w:cs="Century Gothic"/>
          <w:b/>
          <w:bCs/>
          <w:color w:val="000000" w:themeColor="text1"/>
        </w:rPr>
        <w:t>Generación X (45-54 años), 52,88 %</w:t>
      </w:r>
      <w:r w:rsidRPr="369F593A" w:rsidR="00053526">
        <w:rPr>
          <w:rFonts w:ascii="Century Gothic" w:hAnsi="Century Gothic" w:eastAsia="Century Gothic" w:cs="Century Gothic"/>
          <w:color w:val="000000" w:themeColor="text1"/>
        </w:rPr>
        <w:t>.</w:t>
      </w:r>
    </w:p>
    <w:p w:rsidR="00053526" w:rsidP="00F43594" w:rsidRDefault="00053526" w14:paraId="4EF139DA" w14:textId="77777777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</w:p>
    <w:p w:rsidR="001D2A91" w:rsidP="00F43594" w:rsidRDefault="00053526" w14:paraId="5E456188" w14:textId="4E56D67A">
      <w:pPr>
        <w:jc w:val="both"/>
        <w:rPr>
          <w:rFonts w:ascii="Century Gothic" w:hAnsi="Century Gothic" w:eastAsia="Century Gothic" w:cs="Century Gothic"/>
          <w:color w:val="000000"/>
        </w:rPr>
      </w:pPr>
      <w:r w:rsidRPr="00053526">
        <w:rPr>
          <w:rFonts w:ascii="Century Gothic" w:hAnsi="Century Gothic" w:eastAsia="Century Gothic" w:cs="Century Gothic"/>
          <w:color w:val="000000"/>
        </w:rPr>
        <w:t xml:space="preserve">El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tamaño</w:t>
      </w:r>
      <w:proofErr w:type="spellEnd"/>
      <w:r w:rsidRPr="00053526">
        <w:rPr>
          <w:rFonts w:ascii="Century Gothic" w:hAnsi="Century Gothic" w:eastAsia="Century Gothic" w:cs="Century Gothic"/>
          <w:b/>
          <w:bCs/>
          <w:color w:val="000000"/>
        </w:rPr>
        <w:t xml:space="preserve"> de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compañía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también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marca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diferencias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. </w:t>
      </w:r>
      <w:r w:rsidRPr="00053526">
        <w:rPr>
          <w:rFonts w:ascii="Century Gothic" w:hAnsi="Century Gothic" w:eastAsia="Century Gothic" w:cs="Century Gothic"/>
          <w:b/>
          <w:bCs/>
          <w:color w:val="000000"/>
        </w:rPr>
        <w:t xml:space="preserve">En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multinacionales</w:t>
      </w:r>
      <w:proofErr w:type="spellEnd"/>
      <w:r w:rsidRPr="00053526">
        <w:rPr>
          <w:rFonts w:ascii="Century Gothic" w:hAnsi="Century Gothic" w:eastAsia="Century Gothic" w:cs="Century Gothic"/>
          <w:b/>
          <w:bCs/>
          <w:color w:val="000000"/>
        </w:rPr>
        <w:t xml:space="preserve"> (+1.000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empleados</w:t>
      </w:r>
      <w:proofErr w:type="spellEnd"/>
      <w:r w:rsidRPr="00053526">
        <w:rPr>
          <w:rFonts w:ascii="Century Gothic" w:hAnsi="Century Gothic" w:eastAsia="Century Gothic" w:cs="Century Gothic"/>
          <w:b/>
          <w:bCs/>
          <w:color w:val="000000"/>
        </w:rPr>
        <w:t>)</w:t>
      </w:r>
      <w:r w:rsidRPr="00053526">
        <w:rPr>
          <w:rFonts w:ascii="Century Gothic" w:hAnsi="Century Gothic" w:eastAsia="Century Gothic" w:cs="Century Gothic"/>
          <w:color w:val="000000"/>
        </w:rPr>
        <w:t xml:space="preserve">, el </w:t>
      </w:r>
      <w:r w:rsidRPr="00053526">
        <w:rPr>
          <w:rFonts w:ascii="Century Gothic" w:hAnsi="Century Gothic" w:eastAsia="Century Gothic" w:cs="Century Gothic"/>
          <w:b/>
          <w:bCs/>
          <w:color w:val="000000"/>
        </w:rPr>
        <w:t>68,36 %</w:t>
      </w:r>
      <w:r w:rsidRPr="00053526">
        <w:rPr>
          <w:rFonts w:ascii="Century Gothic" w:hAnsi="Century Gothic" w:eastAsia="Century Gothic" w:cs="Century Gothic"/>
          <w:color w:val="000000"/>
        </w:rPr>
        <w:t xml:space="preserve"> del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talento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considera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que la distancia al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trabajo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limita su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equilibrio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,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mientras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que </w:t>
      </w:r>
      <w:r w:rsidRPr="00053526">
        <w:rPr>
          <w:rFonts w:ascii="Century Gothic" w:hAnsi="Century Gothic" w:eastAsia="Century Gothic" w:cs="Century Gothic"/>
          <w:b/>
          <w:bCs/>
          <w:color w:val="000000"/>
        </w:rPr>
        <w:t xml:space="preserve">en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microempresas</w:t>
      </w:r>
      <w:proofErr w:type="spellEnd"/>
      <w:r w:rsidRPr="00053526">
        <w:rPr>
          <w:rFonts w:ascii="Century Gothic" w:hAnsi="Century Gothic" w:eastAsia="Century Gothic" w:cs="Century Gothic"/>
          <w:b/>
          <w:bCs/>
          <w:color w:val="000000"/>
        </w:rPr>
        <w:t xml:space="preserve"> (1-9 </w:t>
      </w:r>
      <w:proofErr w:type="spellStart"/>
      <w:r w:rsidRPr="00053526">
        <w:rPr>
          <w:rFonts w:ascii="Century Gothic" w:hAnsi="Century Gothic" w:eastAsia="Century Gothic" w:cs="Century Gothic"/>
          <w:b/>
          <w:bCs/>
          <w:color w:val="000000"/>
        </w:rPr>
        <w:t>empleados</w:t>
      </w:r>
      <w:proofErr w:type="spellEnd"/>
      <w:r w:rsidRPr="00053526">
        <w:rPr>
          <w:rFonts w:ascii="Century Gothic" w:hAnsi="Century Gothic" w:eastAsia="Century Gothic" w:cs="Century Gothic"/>
          <w:b/>
          <w:bCs/>
          <w:color w:val="000000"/>
        </w:rPr>
        <w:t>)</w:t>
      </w:r>
      <w:r w:rsidRPr="00053526">
        <w:rPr>
          <w:rFonts w:ascii="Century Gothic" w:hAnsi="Century Gothic" w:eastAsia="Century Gothic" w:cs="Century Gothic"/>
          <w:color w:val="000000"/>
        </w:rPr>
        <w:t xml:space="preserve"> el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porcentaje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desciende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al </w:t>
      </w:r>
      <w:r w:rsidRPr="00053526">
        <w:rPr>
          <w:rFonts w:ascii="Century Gothic" w:hAnsi="Century Gothic" w:eastAsia="Century Gothic" w:cs="Century Gothic"/>
          <w:b/>
          <w:bCs/>
          <w:color w:val="000000"/>
        </w:rPr>
        <w:t>57,96 %</w:t>
      </w:r>
      <w:r w:rsidRPr="00053526">
        <w:rPr>
          <w:rFonts w:ascii="Century Gothic" w:hAnsi="Century Gothic" w:eastAsia="Century Gothic" w:cs="Century Gothic"/>
          <w:color w:val="000000"/>
        </w:rPr>
        <w:t xml:space="preserve">,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aunque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sigue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siendo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3526">
        <w:rPr>
          <w:rFonts w:ascii="Century Gothic" w:hAnsi="Century Gothic" w:eastAsia="Century Gothic" w:cs="Century Gothic"/>
          <w:color w:val="000000"/>
        </w:rPr>
        <w:t>mayoritario</w:t>
      </w:r>
      <w:proofErr w:type="spellEnd"/>
      <w:r w:rsidRPr="00053526">
        <w:rPr>
          <w:rFonts w:ascii="Century Gothic" w:hAnsi="Century Gothic" w:eastAsia="Century Gothic" w:cs="Century Gothic"/>
          <w:color w:val="000000"/>
        </w:rPr>
        <w:t>.</w:t>
      </w:r>
    </w:p>
    <w:p w:rsidR="00053526" w:rsidP="00F43594" w:rsidRDefault="00053526" w14:paraId="61D0102B" w14:textId="77777777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</w:p>
    <w:p w:rsidR="008F64D6" w:rsidP="00F43594" w:rsidRDefault="008F64D6" w14:paraId="00F81559" w14:textId="6F41E8DE">
      <w:pPr>
        <w:jc w:val="both"/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</w:pPr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La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conciliación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,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cada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vez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más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decisiva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 al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elegir</w:t>
      </w:r>
      <w:proofErr w:type="spellEnd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 xml:space="preserve"> </w:t>
      </w:r>
      <w:proofErr w:type="spellStart"/>
      <w:r w:rsidRPr="008F64D6"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</w:rPr>
        <w:t>empresa</w:t>
      </w:r>
      <w:proofErr w:type="spellEnd"/>
    </w:p>
    <w:p w:rsidRPr="00F43594" w:rsidR="008F64D6" w:rsidP="00F43594" w:rsidRDefault="008F64D6" w14:paraId="78E95D11" w14:textId="77777777">
      <w:pPr>
        <w:jc w:val="both"/>
        <w:rPr>
          <w:rFonts w:ascii="Century Gothic" w:hAnsi="Century Gothic" w:eastAsia="Century Gothic" w:cs="Century Gothic"/>
          <w:b/>
          <w:bCs/>
          <w:color w:val="000000"/>
          <w:sz w:val="22"/>
          <w:szCs w:val="22"/>
          <w:lang w:val="es-ES"/>
        </w:rPr>
      </w:pPr>
    </w:p>
    <w:p w:rsidR="001D2A91" w:rsidP="00F43594" w:rsidRDefault="00F43594" w14:paraId="04D22E97" w14:textId="1AFB361B">
      <w:pPr>
        <w:jc w:val="both"/>
        <w:rPr>
          <w:rFonts w:ascii="Century Gothic" w:hAnsi="Century Gothic" w:eastAsia="Century Gothic" w:cs="Century Gothic"/>
          <w:color w:val="000000"/>
        </w:rPr>
      </w:pPr>
      <w:r w:rsidRPr="00F43594">
        <w:rPr>
          <w:rFonts w:ascii="Century Gothic" w:hAnsi="Century Gothic" w:eastAsia="Century Gothic" w:cs="Century Gothic"/>
          <w:color w:val="000000"/>
          <w:lang w:val="es-ES"/>
        </w:rPr>
        <w:t>En paralelo, el estudio también muestra que la conciliación se consolida como un factor decisivo a la hora de elegir o permanecer en una empresa.</w:t>
      </w:r>
      <w:r w:rsidRPr="00F43594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 </w:t>
      </w:r>
      <w:r w:rsidRPr="00F43594">
        <w:rPr>
          <w:rFonts w:ascii="Century Gothic" w:hAnsi="Century Gothic" w:eastAsia="Century Gothic" w:cs="Century Gothic"/>
          <w:color w:val="000000"/>
          <w:lang w:val="es-ES"/>
        </w:rPr>
        <w:t>Para</w:t>
      </w:r>
      <w:r w:rsidRPr="00F43594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 el </w:t>
      </w:r>
      <w:r w:rsidR="00A514EC">
        <w:rPr>
          <w:rFonts w:ascii="Century Gothic" w:hAnsi="Century Gothic" w:eastAsia="Century Gothic" w:cs="Century Gothic"/>
          <w:b/>
          <w:bCs/>
          <w:color w:val="000000"/>
          <w:lang w:val="es-ES"/>
        </w:rPr>
        <w:t>52</w:t>
      </w:r>
      <w:r w:rsidRPr="00F43594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 % de los profesionales españoles, la posibilidad de conciliar es un elemento determinante</w:t>
      </w:r>
      <w:r w:rsidRPr="008D4734" w:rsidR="001D2A91">
        <w:rPr>
          <w:rFonts w:ascii="Century Gothic" w:hAnsi="Century Gothic" w:eastAsia="Century Gothic" w:cs="Century Gothic"/>
          <w:b/>
          <w:bCs/>
          <w:color w:val="000000"/>
          <w:lang w:val="es-ES"/>
        </w:rPr>
        <w:t xml:space="preserve">. </w:t>
      </w:r>
      <w:r w:rsidRPr="00F43594">
        <w:rPr>
          <w:rFonts w:ascii="Century Gothic" w:hAnsi="Century Gothic" w:eastAsia="Century Gothic" w:cs="Century Gothic"/>
          <w:color w:val="000000"/>
          <w:lang w:val="es-ES"/>
        </w:rPr>
        <w:t xml:space="preserve">La tendencia es aún más marcada entre los </w:t>
      </w:r>
      <w:proofErr w:type="spellStart"/>
      <w:r w:rsidRPr="00F43594">
        <w:rPr>
          <w:rFonts w:ascii="Century Gothic" w:hAnsi="Century Gothic" w:eastAsia="Century Gothic" w:cs="Century Gothic"/>
          <w:color w:val="000000"/>
          <w:lang w:val="es-ES"/>
        </w:rPr>
        <w:t>millennials</w:t>
      </w:r>
      <w:proofErr w:type="spellEnd"/>
      <w:r w:rsidRPr="00F43594">
        <w:rPr>
          <w:rFonts w:ascii="Century Gothic" w:hAnsi="Century Gothic" w:eastAsia="Century Gothic" w:cs="Century Gothic"/>
          <w:color w:val="000000"/>
          <w:lang w:val="es-ES"/>
        </w:rPr>
        <w:t xml:space="preserve"> jóvenes (25-34 años), donde el 62,4 % sitúa la conciliación como prioridad absoluta</w:t>
      </w:r>
      <w:r w:rsidR="000512F0">
        <w:rPr>
          <w:rFonts w:ascii="Century Gothic" w:hAnsi="Century Gothic" w:eastAsia="Century Gothic" w:cs="Century Gothic"/>
          <w:color w:val="000000"/>
          <w:lang w:val="es-ES"/>
        </w:rPr>
        <w:t xml:space="preserve">; </w:t>
      </w:r>
      <w:r w:rsidRPr="000512F0" w:rsidR="000512F0">
        <w:rPr>
          <w:rFonts w:ascii="Century Gothic" w:hAnsi="Century Gothic" w:eastAsia="Century Gothic" w:cs="Century Gothic"/>
          <w:color w:val="000000"/>
        </w:rPr>
        <w:t xml:space="preserve">en el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extremo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opuesto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, </w:t>
      </w:r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 xml:space="preserve">los </w:t>
      </w:r>
      <w:proofErr w:type="spellStart"/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>Baby Boomers</w:t>
      </w:r>
      <w:proofErr w:type="spellEnd"/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 xml:space="preserve"> (55-60 </w:t>
      </w:r>
      <w:proofErr w:type="spellStart"/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>años</w:t>
      </w:r>
      <w:proofErr w:type="spellEnd"/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>)</w:t>
      </w:r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son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quienes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menos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la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consideran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0512F0" w:rsidR="000512F0">
        <w:rPr>
          <w:rFonts w:ascii="Century Gothic" w:hAnsi="Century Gothic" w:eastAsia="Century Gothic" w:cs="Century Gothic"/>
          <w:color w:val="000000"/>
        </w:rPr>
        <w:t>decisiva</w:t>
      </w:r>
      <w:proofErr w:type="spellEnd"/>
      <w:r w:rsidRPr="000512F0" w:rsidR="000512F0">
        <w:rPr>
          <w:rFonts w:ascii="Century Gothic" w:hAnsi="Century Gothic" w:eastAsia="Century Gothic" w:cs="Century Gothic"/>
          <w:color w:val="000000"/>
        </w:rPr>
        <w:t xml:space="preserve"> (</w:t>
      </w:r>
      <w:r w:rsidRPr="000512F0" w:rsidR="000512F0">
        <w:rPr>
          <w:rFonts w:ascii="Century Gothic" w:hAnsi="Century Gothic" w:eastAsia="Century Gothic" w:cs="Century Gothic"/>
          <w:b/>
          <w:bCs/>
          <w:color w:val="000000"/>
        </w:rPr>
        <w:t>46 %</w:t>
      </w:r>
      <w:r w:rsidRPr="000512F0" w:rsidR="000512F0">
        <w:rPr>
          <w:rFonts w:ascii="Century Gothic" w:hAnsi="Century Gothic" w:eastAsia="Century Gothic" w:cs="Century Gothic"/>
          <w:color w:val="000000"/>
        </w:rPr>
        <w:t>).</w:t>
      </w:r>
    </w:p>
    <w:p w:rsidRPr="00F43594" w:rsidR="000512F0" w:rsidP="00F43594" w:rsidRDefault="000512F0" w14:paraId="234208C2" w14:textId="77777777">
      <w:pPr>
        <w:jc w:val="both"/>
        <w:rPr>
          <w:rFonts w:ascii="Century Gothic" w:hAnsi="Century Gothic" w:eastAsia="Century Gothic" w:cs="Century Gothic"/>
          <w:b/>
          <w:bCs/>
          <w:color w:val="000000"/>
          <w:lang w:val="es-ES"/>
        </w:rPr>
      </w:pPr>
    </w:p>
    <w:p w:rsidR="00001131" w:rsidRDefault="00F30A2E" w14:paraId="1001B3C3" w14:textId="58FCC267">
      <w:pPr>
        <w:jc w:val="both"/>
        <w:rPr>
          <w:rFonts w:ascii="Century Gothic" w:hAnsi="Century Gothic" w:eastAsia="Century Gothic" w:cs="Century Gothic"/>
          <w:color w:val="000000"/>
        </w:rPr>
      </w:pPr>
      <w:r w:rsidRPr="00F30A2E">
        <w:rPr>
          <w:rFonts w:ascii="Century Gothic" w:hAnsi="Century Gothic" w:eastAsia="Century Gothic" w:cs="Century Gothic"/>
          <w:color w:val="000000"/>
        </w:rPr>
        <w:t xml:space="preserve">Por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territorios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,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sobresalen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Comunidad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Valenciana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(58,7 %)</w:t>
      </w:r>
      <w:r w:rsidRPr="00F30A2E">
        <w:rPr>
          <w:rFonts w:ascii="Century Gothic" w:hAnsi="Century Gothic" w:eastAsia="Century Gothic" w:cs="Century Gothic"/>
          <w:color w:val="000000"/>
        </w:rPr>
        <w:t xml:space="preserve"> y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Cataluña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(55,5 %)</w:t>
      </w:r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como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referentes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en demanda de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políticas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de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equilibrio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vida-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trabajo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. Y por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estructura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empresarial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, </w:t>
      </w:r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las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medianas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compañías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(55,6 %)</w:t>
      </w:r>
      <w:r w:rsidRPr="00F30A2E">
        <w:rPr>
          <w:rFonts w:ascii="Century Gothic" w:hAnsi="Century Gothic" w:eastAsia="Century Gothic" w:cs="Century Gothic"/>
          <w:color w:val="000000"/>
        </w:rPr>
        <w:t xml:space="preserve"> y </w:t>
      </w:r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las </w:t>
      </w:r>
      <w:proofErr w:type="spellStart"/>
      <w:r w:rsidRPr="00F30A2E">
        <w:rPr>
          <w:rFonts w:ascii="Century Gothic" w:hAnsi="Century Gothic" w:eastAsia="Century Gothic" w:cs="Century Gothic"/>
          <w:b/>
          <w:bCs/>
          <w:color w:val="000000"/>
        </w:rPr>
        <w:t>corporaciones</w:t>
      </w:r>
      <w:proofErr w:type="spellEnd"/>
      <w:r w:rsidRPr="00F30A2E">
        <w:rPr>
          <w:rFonts w:ascii="Century Gothic" w:hAnsi="Century Gothic" w:eastAsia="Century Gothic" w:cs="Century Gothic"/>
          <w:b/>
          <w:bCs/>
          <w:color w:val="000000"/>
        </w:rPr>
        <w:t xml:space="preserve"> (53,8 %)</w:t>
      </w:r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agrupan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a los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equipos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que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más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valoran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la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conciliación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como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</w:t>
      </w:r>
      <w:proofErr w:type="spellStart"/>
      <w:r w:rsidRPr="00F30A2E">
        <w:rPr>
          <w:rFonts w:ascii="Century Gothic" w:hAnsi="Century Gothic" w:eastAsia="Century Gothic" w:cs="Century Gothic"/>
          <w:color w:val="000000"/>
        </w:rPr>
        <w:t>elemento</w:t>
      </w:r>
      <w:proofErr w:type="spellEnd"/>
      <w:r w:rsidRPr="00F30A2E">
        <w:rPr>
          <w:rFonts w:ascii="Century Gothic" w:hAnsi="Century Gothic" w:eastAsia="Century Gothic" w:cs="Century Gothic"/>
          <w:color w:val="000000"/>
        </w:rPr>
        <w:t xml:space="preserve"> clave.</w:t>
      </w:r>
    </w:p>
    <w:p w:rsidR="00F30A2E" w:rsidRDefault="00F30A2E" w14:paraId="060A8871" w14:textId="77777777">
      <w:pPr>
        <w:jc w:val="both"/>
        <w:rPr>
          <w:rFonts w:ascii="Century Gothic" w:hAnsi="Century Gothic" w:eastAsia="Century Gothic" w:cs="Century Gothic"/>
          <w:color w:val="000000"/>
        </w:rPr>
      </w:pPr>
    </w:p>
    <w:p w:rsidR="004B6C7F" w:rsidP="004B6C7F" w:rsidRDefault="00936408" w14:paraId="278ADFA8" w14:textId="02D97CCB">
      <w:pPr>
        <w:jc w:val="both"/>
        <w:rPr>
          <w:rFonts w:ascii="Century Gothic" w:hAnsi="Century Gothic" w:eastAsia="Century Gothic" w:cs="Century Gothic"/>
          <w:b/>
          <w:bCs/>
          <w:color w:val="000000"/>
          <w:lang w:val="es-ES"/>
        </w:rPr>
      </w:pPr>
      <w:r w:rsidRPr="369F593A">
        <w:rPr>
          <w:rFonts w:ascii="Century Gothic" w:hAnsi="Century Gothic" w:eastAsia="Century Gothic" w:cs="Century Gothic"/>
          <w:i/>
          <w:iCs/>
          <w:color w:val="000000" w:themeColor="text1"/>
        </w:rPr>
        <w:t xml:space="preserve">“Estos datos confirman que movilidad y conciliación están estrechamente ligadas. Reducir el tiempo y el coste de los desplazamientos es hoy una de las claves para mejorar el bienestar y la productividad de los equipos. Las empresas que ofrezcan alternativas sostenibles, ayudas al transporte o fórmulas de trabajo flexible tendrán una ventaja clara para atraer y fidelizar talento", </w:t>
      </w:r>
      <w:r w:rsidRPr="369F593A" w:rsidR="004B6C7F">
        <w:rPr>
          <w:rFonts w:ascii="Century Gothic" w:hAnsi="Century Gothic" w:eastAsia="Century Gothic" w:cs="Century Gothic"/>
          <w:color w:val="000000" w:themeColor="text1"/>
          <w:lang w:val="es-ES"/>
        </w:rPr>
        <w:t xml:space="preserve">afirma </w:t>
      </w:r>
      <w:r w:rsidRPr="369F593A" w:rsidR="00600759">
        <w:rPr>
          <w:rFonts w:ascii="Century Gothic" w:hAnsi="Century Gothic" w:eastAsia="Century Gothic" w:cs="Century Gothic"/>
          <w:color w:val="000000" w:themeColor="text1"/>
          <w:lang w:val="es-ES"/>
        </w:rPr>
        <w:t>la</w:t>
      </w:r>
      <w:r w:rsidRPr="369F593A" w:rsidR="00600759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 xml:space="preserve"> </w:t>
      </w:r>
      <w:r w:rsidRPr="369F593A" w:rsidR="004B6C7F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Directora de People &amp; CSR de Edenred España</w:t>
      </w:r>
      <w:r w:rsidRPr="369F593A" w:rsidR="00600759">
        <w:rPr>
          <w:rFonts w:ascii="Century Gothic" w:hAnsi="Century Gothic" w:eastAsia="Century Gothic" w:cs="Century Gothic"/>
          <w:b/>
          <w:bCs/>
          <w:color w:val="000000" w:themeColor="text1"/>
          <w:lang w:val="es-ES"/>
        </w:rPr>
        <w:t>, Olga Zografou.</w:t>
      </w:r>
    </w:p>
    <w:p w:rsidR="008B3796" w:rsidP="004B6C7F" w:rsidRDefault="008B3796" w14:paraId="63386442" w14:textId="77777777">
      <w:pPr>
        <w:jc w:val="both"/>
        <w:rPr>
          <w:rFonts w:ascii="Century Gothic" w:hAnsi="Century Gothic" w:eastAsia="Century Gothic" w:cs="Century Gothic"/>
          <w:b/>
          <w:bCs/>
          <w:color w:val="000000"/>
          <w:lang w:val="es-ES"/>
        </w:rPr>
      </w:pPr>
    </w:p>
    <w:p w:rsidRPr="008B3796" w:rsidR="008B3796" w:rsidP="004B6C7F" w:rsidRDefault="008B3796" w14:paraId="634CACD9" w14:textId="1C125BF1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En un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contexto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donde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la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nueva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Ley de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Movilidad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Sostenible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obligará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a las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compañías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a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elaborar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planes de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movilidad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5A1477F8">
        <w:rPr>
          <w:rFonts w:ascii="Century Gothic" w:hAnsi="Century Gothic" w:eastAsia="Century Gothic" w:cs="Century Gothic"/>
          <w:color w:val="000000" w:themeColor="text1" w:themeTint="FF" w:themeShade="FF"/>
        </w:rPr>
        <w:t>sostenible</w:t>
      </w:r>
      <w:r w:rsidRPr="4C519343" w:rsidR="5A1477F8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5FD82087">
        <w:rPr>
          <w:rFonts w:ascii="Century Gothic" w:hAnsi="Century Gothic" w:eastAsia="Century Gothic" w:cs="Century Gothic"/>
          <w:color w:val="000000" w:themeColor="text1" w:themeTint="FF" w:themeShade="FF"/>
        </w:rPr>
        <w:t>(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al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trabajo</w:t>
      </w:r>
      <w:r w:rsidRPr="4C519343" w:rsidR="51E52369">
        <w:rPr>
          <w:rFonts w:ascii="Century Gothic" w:hAnsi="Century Gothic" w:eastAsia="Century Gothic" w:cs="Century Gothic"/>
          <w:color w:val="000000" w:themeColor="text1" w:themeTint="FF" w:themeShade="FF"/>
        </w:rPr>
        <w:t>)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, los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resultados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del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estudio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 Edenred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ponen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manifiesto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que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estas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medidas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no solo son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necesarias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desde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el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punto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 vista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medioambiental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, sino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también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desde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la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perspectiva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del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bienestar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y la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productividad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 xml:space="preserve"> de los 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equipos</w:t>
      </w:r>
      <w:r w:rsidRPr="4C519343" w:rsidR="008B3796">
        <w:rPr>
          <w:rFonts w:ascii="Century Gothic" w:hAnsi="Century Gothic" w:eastAsia="Century Gothic" w:cs="Century Gothic"/>
          <w:color w:val="000000" w:themeColor="text1" w:themeTint="FF" w:themeShade="FF"/>
        </w:rPr>
        <w:t>.</w:t>
      </w:r>
    </w:p>
    <w:p w:rsidRPr="004B6C7F" w:rsidR="004B6C7F" w:rsidRDefault="004B6C7F" w14:paraId="06EC7606" w14:textId="77777777">
      <w:pPr>
        <w:jc w:val="both"/>
        <w:rPr>
          <w:rFonts w:ascii="Century Gothic" w:hAnsi="Century Gothic" w:eastAsia="Century Gothic" w:cs="Century Gothic"/>
          <w:b/>
          <w:bCs/>
          <w:color w:val="000000"/>
          <w:lang w:val="es-ES"/>
        </w:rPr>
      </w:pPr>
    </w:p>
    <w:p w:rsidRPr="00833D4F" w:rsidR="0034131E" w:rsidRDefault="00E660F9" w14:paraId="51E74DA8" w14:textId="350A9506">
      <w:pPr>
        <w:jc w:val="both"/>
        <w:rPr>
          <w:rFonts w:ascii="Century Gothic" w:hAnsi="Century Gothic" w:eastAsia="Century Gothic" w:cs="Century Gothic"/>
          <w:color w:val="000000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lang w:val="es-ES"/>
        </w:rPr>
        <w:t>▬▬</w:t>
      </w:r>
    </w:p>
    <w:p w:rsidRPr="00833D4F" w:rsidR="0034131E" w:rsidRDefault="0034131E" w14:paraId="319B1527" w14:textId="77777777">
      <w:pPr>
        <w:jc w:val="both"/>
        <w:rPr>
          <w:rFonts w:ascii="Century Gothic" w:hAnsi="Century Gothic" w:eastAsia="Century Gothic" w:cs="Century Gothic"/>
          <w:lang w:val="es-ES"/>
        </w:rPr>
      </w:pPr>
    </w:p>
    <w:p w:rsidRPr="00833D4F" w:rsidR="0034131E" w:rsidRDefault="00E660F9" w14:paraId="25873AF5" w14:textId="77777777">
      <w:pPr>
        <w:jc w:val="both"/>
        <w:rPr>
          <w:lang w:val="es-ES"/>
        </w:rPr>
      </w:pPr>
      <w:r w:rsidRPr="00833D4F">
        <w:rPr>
          <w:rFonts w:ascii="Century Gothic" w:hAnsi="Century Gothic" w:eastAsia="Century Gothic" w:cs="Century Gothic"/>
          <w:b/>
          <w:color w:val="000000"/>
          <w:sz w:val="18"/>
          <w:szCs w:val="18"/>
          <w:lang w:val="es-ES"/>
        </w:rPr>
        <w:t>Sobre Edenred</w:t>
      </w:r>
    </w:p>
    <w:p w:rsidRPr="00833D4F" w:rsidR="0034131E" w:rsidRDefault="0034131E" w14:paraId="4FED8EE9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lang w:val="es-ES"/>
        </w:rPr>
      </w:pPr>
    </w:p>
    <w:p w:rsidRPr="00833D4F" w:rsidR="0034131E" w:rsidRDefault="00E660F9" w14:paraId="67906C8A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lang w:val="es-ES"/>
        </w:rPr>
      </w:pPr>
      <w:r w:rsidRPr="00833D4F">
        <w:rPr>
          <w:rFonts w:ascii="Century Gothic" w:hAnsi="Century Gothic" w:eastAsia="Century Gothic" w:cs="Century Gothic"/>
          <w:b/>
          <w:color w:val="000000"/>
          <w:sz w:val="18"/>
          <w:szCs w:val="18"/>
          <w:lang w:val="es-ES"/>
        </w:rPr>
        <w:t>Edenred</w:t>
      </w:r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es una plataforma digital líder en servicios y pagos, que actúa como el compañero diario de las personas en el trabajo, facilitando la conexión entre más de 60 millones de usuarios y 2 millones de comercios asociados en 45 países, a través de 1 millón de clientes corporativos. </w:t>
      </w:r>
    </w:p>
    <w:p w:rsidRPr="00833D4F" w:rsidR="0034131E" w:rsidRDefault="0034131E" w14:paraId="2AA0D98E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77C6D3E1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Su oferta se basa en soluciones de pago de propósito específico, diseñadas para mejorar la experiencia laboral y la eficiencia empresarial. En el ámbito de la alimentación, Edenred ofrece beneficios como tarjetas de comida y vales de alimentos, que facilitan el acceso a opciones más saludables. En el área de compromiso y bienestar, proporciona soluciones como tarjetas regalo y plataformas de incentivos, que refuerzan la motivación y fidelización del talento. En movilidad, facilita el acceso a soluciones multimodales, incluyendo carga de vehículos eléctricos, mantenimiento, peajes y estacionamiento, contribuyendo a un entorno de transporte más sostenible. Finalmente, en pagos corporativos, ofrece herramientas como tarjetas virtuales, que optimizan la gestión financiera y simplifican las transacciones empresariales.</w:t>
      </w:r>
    </w:p>
    <w:p w:rsidRPr="00833D4F" w:rsidR="0034131E" w:rsidRDefault="0034131E" w14:paraId="21BB60E4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2C80D1F0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Fiel a su propósito, "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Enrich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connections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.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For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good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.", Edenred trabaja para mejorar el bienestar y el poder adquisitivo de los usuarios, incrementar la atractividad y eficiencia de las empresas, y dinamizar el mercado laboral y la economía local. Su impacto también se traduce en el fomento de una alimentación más saludable, el acceso a productos más sostenibles y el impulso de una movilidad más ecológica.</w:t>
      </w:r>
    </w:p>
    <w:p w:rsidRPr="00833D4F" w:rsidR="0034131E" w:rsidRDefault="0034131E" w14:paraId="6502A61F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31ABED79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Con un equipo de 12.000 empleados, Edenred se compromete cada día a hacer del mundo laboral un ecosistema más conectado, seguro, eficiente y responsable. En 2024, gracias a su infraestructura tecnológica global, el Grupo gestionó un volumen de negocio cercano a 45.000 millones de euros, operado principalmente a través de aplicaciones móviles, plataformas online y tarjetas.</w:t>
      </w:r>
    </w:p>
    <w:p w:rsidRPr="00833D4F" w:rsidR="0034131E" w:rsidRDefault="0034131E" w14:paraId="2BC1F840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4B5D790E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Edenred cotiza en la Bolsa de París (Euronext) y forma parte de los principales índices bursátiles, incluyendo CAC 40, CAC 40 ESG, CAC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Large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60, Euronext 100, Euronext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Tech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Leaders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, FTSE4Good, DJSI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, DJSI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World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 xml:space="preserve"> y MSCI </w:t>
      </w:r>
      <w:proofErr w:type="spellStart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  <w:t>.</w:t>
      </w:r>
    </w:p>
    <w:p w:rsidRPr="00833D4F" w:rsidR="0034131E" w:rsidRDefault="0034131E" w14:paraId="5BF9E4B4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E660F9" w14:paraId="1CC7A655" w14:textId="77777777">
      <w:pPr>
        <w:spacing w:line="240" w:lineRule="auto"/>
        <w:jc w:val="both"/>
        <w:rPr>
          <w:rFonts w:ascii="Century Gothic" w:hAnsi="Century Gothic" w:eastAsia="Century Gothic" w:cs="Century Gothic"/>
          <w:i/>
          <w:color w:val="000000"/>
          <w:sz w:val="16"/>
          <w:szCs w:val="16"/>
          <w:lang w:val="es-ES"/>
        </w:rPr>
      </w:pPr>
      <w:r w:rsidRPr="00833D4F">
        <w:rPr>
          <w:rFonts w:ascii="Century Gothic" w:hAnsi="Century Gothic" w:eastAsia="Century Gothic" w:cs="Century Gothic"/>
          <w:i/>
          <w:color w:val="000000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:rsidRPr="00833D4F" w:rsidR="0034131E" w:rsidRDefault="0034131E" w14:paraId="60992604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color w:val="000000"/>
          <w:sz w:val="18"/>
          <w:szCs w:val="18"/>
          <w:lang w:val="es-ES"/>
        </w:rPr>
      </w:pPr>
    </w:p>
    <w:p w:rsidRPr="00833D4F" w:rsidR="0034131E" w:rsidRDefault="0034131E" w14:paraId="6E54591E" w14:textId="77777777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hAnsi="Century Gothic" w:eastAsia="Century Gothic" w:cs="Century Gothic"/>
          <w:b/>
          <w:color w:val="000000"/>
          <w:sz w:val="24"/>
          <w:szCs w:val="24"/>
          <w:lang w:val="es-ES"/>
        </w:rPr>
      </w:pPr>
    </w:p>
    <w:p w:rsidR="0034131E" w:rsidRDefault="00E660F9" w14:paraId="34EBC2CB" w14:textId="77777777">
      <w:pPr>
        <w:spacing w:line="254" w:lineRule="auto"/>
        <w:rPr>
          <w:rFonts w:ascii="Century Gothic" w:hAnsi="Century Gothic" w:eastAsia="Century Gothic" w:cs="Century Gothic"/>
          <w:b/>
          <w:color w:val="000000"/>
          <w:sz w:val="24"/>
          <w:szCs w:val="24"/>
        </w:rPr>
      </w:pPr>
      <w:r>
        <w:rPr>
          <w:rFonts w:ascii="Century Gothic" w:hAnsi="Century Gothic" w:eastAsia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31E" w:rsidRDefault="0034131E" w14:paraId="539CB8FE" w14:textId="77777777">
            <w:pPr>
              <w:jc w:val="both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  <w:p w:rsidR="0034131E" w:rsidRDefault="00E660F9" w14:paraId="3E71BA8C" w14:textId="77777777">
            <w:pPr>
              <w:jc w:val="both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:rsidR="0034131E" w:rsidRDefault="00E660F9" w14:paraId="2C0E5145" w14:textId="77777777">
            <w:pPr>
              <w:jc w:val="both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:rsidR="0034131E" w:rsidRDefault="00E660F9" w14:paraId="3C5097B0" w14:textId="77777777">
            <w:pPr>
              <w:jc w:val="both"/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 </w:t>
            </w:r>
          </w:p>
          <w:p w:rsidR="0034131E" w:rsidRDefault="0034131E" w14:paraId="7AD809AF" w14:textId="77777777">
            <w:pPr>
              <w:jc w:val="both"/>
            </w:pPr>
            <w:hyperlink r:id="rId9">
              <w:r>
                <w:rPr>
                  <w:rFonts w:ascii="Century Gothic" w:hAnsi="Century Gothic" w:eastAsia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:rsidR="0034131E" w:rsidRDefault="0034131E" w14:paraId="4CF87B1B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31E" w:rsidRDefault="0034131E" w14:paraId="73979073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</w:p>
          <w:p w:rsidR="0034131E" w:rsidRDefault="00E660F9" w14:paraId="188D7D39" w14:textId="77777777">
            <w:pPr>
              <w:spacing w:line="251" w:lineRule="auto"/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>Newlink</w:t>
            </w:r>
            <w:proofErr w:type="spellEnd"/>
            <w:r>
              <w:rPr>
                <w:rFonts w:ascii="Century Gothic" w:hAnsi="Century Gothic" w:eastAsia="Century Gothic" w:cs="Century Gothic"/>
                <w:b/>
                <w:color w:val="000000"/>
                <w:sz w:val="16"/>
                <w:szCs w:val="16"/>
              </w:rPr>
              <w:t xml:space="preserve"> Spain </w:t>
            </w:r>
          </w:p>
          <w:p w:rsidR="0034131E" w:rsidRDefault="00E660F9" w14:paraId="0709A77C" w14:textId="77777777">
            <w:pPr>
              <w:spacing w:line="251" w:lineRule="auto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Marina Gascón | Patricia </w:t>
            </w:r>
            <w:proofErr w:type="spellStart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Vizcaíno</w:t>
            </w:r>
            <w:proofErr w:type="spellEnd"/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 xml:space="preserve"> | Sara García</w:t>
            </w:r>
          </w:p>
          <w:p w:rsidR="0034131E" w:rsidRDefault="00E660F9" w14:paraId="186B073B" w14:textId="77777777">
            <w:pPr>
              <w:spacing w:line="251" w:lineRule="auto"/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color w:val="000000"/>
                <w:sz w:val="16"/>
                <w:szCs w:val="16"/>
              </w:rPr>
              <w:t>651 96 34 59</w:t>
            </w:r>
          </w:p>
          <w:p w:rsidR="0034131E" w:rsidRDefault="0034131E" w14:paraId="5D012B56" w14:textId="77777777">
            <w:pPr>
              <w:spacing w:line="251" w:lineRule="auto"/>
            </w:pPr>
            <w:hyperlink r:id="rId10">
              <w:r>
                <w:rPr>
                  <w:rFonts w:ascii="Century Gothic" w:hAnsi="Century Gothic" w:eastAsia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:rsidR="0034131E" w:rsidRDefault="0034131E" w14:paraId="71CD1086" w14:textId="77777777">
      <w:pPr>
        <w:ind w:left="141"/>
        <w:rPr>
          <w:color w:val="002060"/>
        </w:rPr>
      </w:pPr>
    </w:p>
    <w:p w:rsidR="0034131E" w:rsidRDefault="0034131E" w14:paraId="62FFDE23" w14:textId="77777777">
      <w:pPr>
        <w:tabs>
          <w:tab w:val="left" w:pos="2760"/>
        </w:tabs>
      </w:pPr>
    </w:p>
    <w:sectPr w:rsidR="0034131E">
      <w:footerReference w:type="default" r:id="rId11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E7692" w:rsidRDefault="00BE7692" w14:paraId="2A359EC1" w14:textId="77777777">
      <w:pPr>
        <w:spacing w:line="240" w:lineRule="auto"/>
      </w:pPr>
      <w:r>
        <w:separator/>
      </w:r>
    </w:p>
  </w:endnote>
  <w:endnote w:type="continuationSeparator" w:id="0">
    <w:p w:rsidR="00BE7692" w:rsidRDefault="00BE7692" w14:paraId="4472AE5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w:fontKey="{2A2C3AD8-92EC-4250-9745-BDF65E99EE88}" r:id="rId1"/>
    <w:embedBold w:fontKey="{83B15006-814E-4077-AAA0-B1218A2F99B9}" r:id="rId2"/>
    <w:embedItalic w:fontKey="{A94E64FC-DFB2-456F-9559-A2813A8DB0CC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C311974-F4C6-4DC9-B4A3-386EC0637953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0F54897-68EE-4328-897D-FB405273016B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94DAE81-AB04-4F02-8536-18D522C361E4}" r:id="rId6"/>
    <w:embedItalic w:fontKey="{67E7F56F-D5D5-467A-855D-7CEBA7DCD825}" r:id="rId7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4131E" w:rsidRDefault="00E660F9" w14:paraId="5B255193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E7692" w:rsidRDefault="00BE7692" w14:paraId="16CC3255" w14:textId="77777777">
      <w:pPr>
        <w:spacing w:line="240" w:lineRule="auto"/>
      </w:pPr>
      <w:r>
        <w:separator/>
      </w:r>
    </w:p>
  </w:footnote>
  <w:footnote w:type="continuationSeparator" w:id="0">
    <w:p w:rsidR="00BE7692" w:rsidRDefault="00BE7692" w14:paraId="33293935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540246018">
    <w:abstractNumId w:val="1"/>
  </w:num>
  <w:num w:numId="2" w16cid:durableId="620915189">
    <w:abstractNumId w:val="0"/>
  </w:num>
  <w:num w:numId="3" w16cid:durableId="950282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22255"/>
    <w:rsid w:val="000323C6"/>
    <w:rsid w:val="00035309"/>
    <w:rsid w:val="000512F0"/>
    <w:rsid w:val="00053526"/>
    <w:rsid w:val="000873EB"/>
    <w:rsid w:val="00092205"/>
    <w:rsid w:val="000A4CBF"/>
    <w:rsid w:val="000F4162"/>
    <w:rsid w:val="00124824"/>
    <w:rsid w:val="00125440"/>
    <w:rsid w:val="001325F8"/>
    <w:rsid w:val="001533EB"/>
    <w:rsid w:val="001724EC"/>
    <w:rsid w:val="0017574A"/>
    <w:rsid w:val="0018413A"/>
    <w:rsid w:val="00196D68"/>
    <w:rsid w:val="001B3304"/>
    <w:rsid w:val="001C4938"/>
    <w:rsid w:val="001D2A91"/>
    <w:rsid w:val="001D65D3"/>
    <w:rsid w:val="001E738B"/>
    <w:rsid w:val="001F79A2"/>
    <w:rsid w:val="00202F85"/>
    <w:rsid w:val="00240C55"/>
    <w:rsid w:val="002665DB"/>
    <w:rsid w:val="002A08A5"/>
    <w:rsid w:val="002AC8F9"/>
    <w:rsid w:val="002D4BFB"/>
    <w:rsid w:val="002E2116"/>
    <w:rsid w:val="00323902"/>
    <w:rsid w:val="0034131E"/>
    <w:rsid w:val="003470F9"/>
    <w:rsid w:val="00350B2A"/>
    <w:rsid w:val="003530F0"/>
    <w:rsid w:val="00372C87"/>
    <w:rsid w:val="0039534F"/>
    <w:rsid w:val="003C0022"/>
    <w:rsid w:val="003D2293"/>
    <w:rsid w:val="003D5524"/>
    <w:rsid w:val="003E7120"/>
    <w:rsid w:val="00427E2A"/>
    <w:rsid w:val="0045496E"/>
    <w:rsid w:val="004B6C7F"/>
    <w:rsid w:val="004D721E"/>
    <w:rsid w:val="004E5017"/>
    <w:rsid w:val="00550198"/>
    <w:rsid w:val="005667E4"/>
    <w:rsid w:val="0057489F"/>
    <w:rsid w:val="00582CBC"/>
    <w:rsid w:val="00584BD2"/>
    <w:rsid w:val="005A0C33"/>
    <w:rsid w:val="005A49F7"/>
    <w:rsid w:val="005D09EE"/>
    <w:rsid w:val="005D5C33"/>
    <w:rsid w:val="005E195F"/>
    <w:rsid w:val="00600759"/>
    <w:rsid w:val="006053DD"/>
    <w:rsid w:val="00605A7B"/>
    <w:rsid w:val="006662D7"/>
    <w:rsid w:val="006D0E3A"/>
    <w:rsid w:val="00705CB8"/>
    <w:rsid w:val="00714118"/>
    <w:rsid w:val="007142AE"/>
    <w:rsid w:val="0071623A"/>
    <w:rsid w:val="00720D3A"/>
    <w:rsid w:val="00726216"/>
    <w:rsid w:val="007464E8"/>
    <w:rsid w:val="007526FE"/>
    <w:rsid w:val="00754BD4"/>
    <w:rsid w:val="007624FC"/>
    <w:rsid w:val="007A254F"/>
    <w:rsid w:val="007A4627"/>
    <w:rsid w:val="007B551B"/>
    <w:rsid w:val="007D1E1B"/>
    <w:rsid w:val="007E0322"/>
    <w:rsid w:val="0080549B"/>
    <w:rsid w:val="00833D4F"/>
    <w:rsid w:val="0084066C"/>
    <w:rsid w:val="00857B31"/>
    <w:rsid w:val="00867695"/>
    <w:rsid w:val="0089688A"/>
    <w:rsid w:val="008B3796"/>
    <w:rsid w:val="008B41AE"/>
    <w:rsid w:val="008C5C42"/>
    <w:rsid w:val="008D4734"/>
    <w:rsid w:val="008D77A2"/>
    <w:rsid w:val="008F64D6"/>
    <w:rsid w:val="00936408"/>
    <w:rsid w:val="009437D4"/>
    <w:rsid w:val="00A12632"/>
    <w:rsid w:val="00A329FB"/>
    <w:rsid w:val="00A446DD"/>
    <w:rsid w:val="00A458BE"/>
    <w:rsid w:val="00A50C82"/>
    <w:rsid w:val="00A514EC"/>
    <w:rsid w:val="00A51A29"/>
    <w:rsid w:val="00A63651"/>
    <w:rsid w:val="00A6484B"/>
    <w:rsid w:val="00A76561"/>
    <w:rsid w:val="00A95D2A"/>
    <w:rsid w:val="00AE6FF0"/>
    <w:rsid w:val="00B35B98"/>
    <w:rsid w:val="00BA70E9"/>
    <w:rsid w:val="00BB29B5"/>
    <w:rsid w:val="00BE1228"/>
    <w:rsid w:val="00BE7692"/>
    <w:rsid w:val="00C355E6"/>
    <w:rsid w:val="00C53F92"/>
    <w:rsid w:val="00C54FD6"/>
    <w:rsid w:val="00CA154F"/>
    <w:rsid w:val="00CA6FAD"/>
    <w:rsid w:val="00CB3941"/>
    <w:rsid w:val="00CB791B"/>
    <w:rsid w:val="00CE15AF"/>
    <w:rsid w:val="00D339B9"/>
    <w:rsid w:val="00D60657"/>
    <w:rsid w:val="00D77A2F"/>
    <w:rsid w:val="00D803AC"/>
    <w:rsid w:val="00D87718"/>
    <w:rsid w:val="00D92E54"/>
    <w:rsid w:val="00DA44E2"/>
    <w:rsid w:val="00DB05D1"/>
    <w:rsid w:val="00DD5276"/>
    <w:rsid w:val="00DF1697"/>
    <w:rsid w:val="00E21E9B"/>
    <w:rsid w:val="00E22330"/>
    <w:rsid w:val="00E36C9E"/>
    <w:rsid w:val="00E62368"/>
    <w:rsid w:val="00E660F9"/>
    <w:rsid w:val="00E73445"/>
    <w:rsid w:val="00E847E1"/>
    <w:rsid w:val="00E87CFB"/>
    <w:rsid w:val="00EA5BD2"/>
    <w:rsid w:val="00EB2FEF"/>
    <w:rsid w:val="00ED7249"/>
    <w:rsid w:val="00EE2FCB"/>
    <w:rsid w:val="00F06410"/>
    <w:rsid w:val="00F127EF"/>
    <w:rsid w:val="00F205CD"/>
    <w:rsid w:val="00F30A2E"/>
    <w:rsid w:val="00F348CD"/>
    <w:rsid w:val="00F43594"/>
    <w:rsid w:val="00F44031"/>
    <w:rsid w:val="00F539A2"/>
    <w:rsid w:val="00F71D13"/>
    <w:rsid w:val="00F964D3"/>
    <w:rsid w:val="00FC5675"/>
    <w:rsid w:val="06500D15"/>
    <w:rsid w:val="07F26AC1"/>
    <w:rsid w:val="09EFB7A2"/>
    <w:rsid w:val="0BB7B714"/>
    <w:rsid w:val="128CF391"/>
    <w:rsid w:val="1DD92EDD"/>
    <w:rsid w:val="2000C87A"/>
    <w:rsid w:val="230B98CF"/>
    <w:rsid w:val="2DD14E72"/>
    <w:rsid w:val="32194533"/>
    <w:rsid w:val="34FEDFA7"/>
    <w:rsid w:val="369F593A"/>
    <w:rsid w:val="374C9155"/>
    <w:rsid w:val="383814D8"/>
    <w:rsid w:val="38DC9542"/>
    <w:rsid w:val="3C53924A"/>
    <w:rsid w:val="41641B85"/>
    <w:rsid w:val="47D33F8F"/>
    <w:rsid w:val="4959E5F3"/>
    <w:rsid w:val="4BE621DD"/>
    <w:rsid w:val="4C519343"/>
    <w:rsid w:val="4D9DEA92"/>
    <w:rsid w:val="50EFDBEC"/>
    <w:rsid w:val="51E52369"/>
    <w:rsid w:val="5305EDC2"/>
    <w:rsid w:val="5A1477F8"/>
    <w:rsid w:val="5A6F7869"/>
    <w:rsid w:val="5DA99854"/>
    <w:rsid w:val="5FD82087"/>
    <w:rsid w:val="654E381F"/>
    <w:rsid w:val="663B0077"/>
    <w:rsid w:val="6741401F"/>
    <w:rsid w:val="684B0B33"/>
    <w:rsid w:val="695CCEFC"/>
    <w:rsid w:val="698867F5"/>
    <w:rsid w:val="6EB9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4EEC3"/>
  <w15:docId w15:val="{1FA8A09A-EC3F-4944-9E66-F728BB50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260" w:lineRule="atLeast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styleId="EdenredDate" w:customStyle="1">
    <w:name w:val="Edenred Date"/>
    <w:basedOn w:val="Header"/>
    <w:pPr>
      <w:jc w:val="right"/>
    </w:pPr>
    <w:rPr>
      <w:sz w:val="20"/>
    </w:rPr>
  </w:style>
  <w:style w:type="paragraph" w:styleId="EdenredTitle" w:customStyle="1">
    <w:name w:val="Edenred Title"/>
    <w:basedOn w:val="Text"/>
    <w:rPr>
      <w:color w:val="162056"/>
      <w:sz w:val="40"/>
      <w:szCs w:val="40"/>
    </w:rPr>
  </w:style>
  <w:style w:type="paragraph" w:styleId="Edenredsubtitle" w:customStyle="1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styleId="Text" w:customStyle="1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styleId="PiedepginaCar" w:customStyle="1">
    <w:name w:val="Pie de página Car"/>
    <w:basedOn w:val="DefaultParagraphFont"/>
    <w:rPr>
      <w:rFonts w:ascii="Arial" w:hAnsi="Arial"/>
      <w:color w:val="11204C"/>
      <w:lang w:eastAsia="en-US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styleId="Page" w:customStyle="1">
    <w:name w:val="Page"/>
    <w:basedOn w:val="Normal"/>
    <w:pPr>
      <w:jc w:val="right"/>
    </w:pPr>
    <w:rPr>
      <w:sz w:val="16"/>
    </w:rPr>
  </w:style>
  <w:style w:type="character" w:styleId="TextCar" w:customStyle="1">
    <w:name w:val="Text Car"/>
    <w:rPr>
      <w:rFonts w:ascii="Century Gothic" w:hAnsi="Century Gothic" w:cs="Arial"/>
      <w:lang w:val="en-US" w:eastAsia="en-US"/>
    </w:rPr>
  </w:style>
  <w:style w:type="paragraph" w:styleId="FootnoteText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styleId="TextonotapieCar" w:customStyle="1">
    <w:name w:val="Texto nota pie Car"/>
    <w:rPr>
      <w:rFonts w:ascii="Century Gothic" w:hAnsi="Century Gothic"/>
      <w:sz w:val="14"/>
      <w:lang w:eastAsia="en-US"/>
    </w:rPr>
  </w:style>
  <w:style w:type="character" w:styleId="FootnoteReference">
    <w:name w:val="footnote reference"/>
    <w:rPr>
      <w:position w:val="0"/>
      <w:vertAlign w:val="superscript"/>
    </w:rPr>
  </w:style>
  <w:style w:type="character" w:styleId="Ttulo1Car" w:customStyle="1">
    <w:name w:val="Título 1 Car"/>
    <w:rPr>
      <w:rFonts w:ascii="Arial" w:hAnsi="Arial" w:eastAsia="MS Gothic"/>
      <w:b/>
      <w:bCs/>
      <w:color w:val="17153B"/>
      <w:sz w:val="28"/>
      <w:szCs w:val="28"/>
      <w:lang w:val="en-US" w:eastAsia="en-US"/>
    </w:rPr>
  </w:style>
  <w:style w:type="character" w:styleId="Ttulo2Car" w:customStyle="1">
    <w:name w:val="Título 2 Car"/>
    <w:rPr>
      <w:rFonts w:ascii="Arial" w:hAnsi="Arial" w:eastAsia="MS Gothic"/>
      <w:b/>
      <w:bCs/>
      <w:color w:val="201C50"/>
      <w:sz w:val="26"/>
      <w:szCs w:val="26"/>
      <w:lang w:val="en-US" w:eastAsia="en-US"/>
    </w:rPr>
  </w:style>
  <w:style w:type="character" w:styleId="Ttulo3Car" w:customStyle="1">
    <w:name w:val="Título 3 Car"/>
    <w:rPr>
      <w:rFonts w:ascii="Arial" w:hAnsi="Arial" w:eastAsia="MS Gothic"/>
      <w:b/>
      <w:bCs/>
      <w:color w:val="201C50"/>
      <w:szCs w:val="22"/>
      <w:lang w:val="en-US" w:eastAsia="en-US"/>
    </w:rPr>
  </w:style>
  <w:style w:type="paragraph" w:styleId="Title1" w:customStyle="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styleId="Title1Car" w:customStyle="1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styleId="Title2" w:customStyle="1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styleId="Title2Car" w:customStyle="1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styleId="BulletLead-in1" w:customStyle="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styleId="BulletLead-in1Car" w:customStyle="1">
    <w:name w:val="Bullet Lead-in 1 Car"/>
    <w:rPr>
      <w:rFonts w:ascii="Century Gothic" w:hAnsi="Century Gothic" w:cs="Arial"/>
      <w:b/>
      <w:lang w:val="en-US" w:eastAsia="en-US"/>
    </w:rPr>
  </w:style>
  <w:style w:type="paragraph" w:styleId="BulletLead-in2" w:customStyle="1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styleId="BulletLead-in2Car" w:customStyle="1">
    <w:name w:val="Bullet Lead-in 2 Car"/>
    <w:rPr>
      <w:rFonts w:ascii="Century Gothic" w:hAnsi="Century Gothic"/>
      <w:lang w:eastAsia="en-US"/>
    </w:rPr>
  </w:style>
  <w:style w:type="paragraph" w:styleId="TOCHeading">
    <w:name w:val="TOC Heading"/>
    <w:basedOn w:val="Heading1"/>
    <w:next w:val="Normal"/>
    <w:rPr>
      <w:lang w:eastAsia="fr-FR"/>
    </w:rPr>
  </w:style>
  <w:style w:type="paragraph" w:styleId="BodyText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styleId="TextoindependienteCar" w:customStyle="1">
    <w:name w:val="Texto independiente Car"/>
    <w:rPr>
      <w:rFonts w:ascii="Arial" w:hAnsi="Arial" w:eastAsia="Arial"/>
      <w:color w:val="002060"/>
      <w:szCs w:val="22"/>
      <w:lang w:val="en-US" w:eastAsia="en-US"/>
    </w:rPr>
  </w:style>
  <w:style w:type="character" w:styleId="EncabezadoCar" w:customStyle="1">
    <w:name w:val="Encabezado Car"/>
    <w:rPr>
      <w:rFonts w:ascii="Century Gothic" w:hAnsi="Century Gothic"/>
      <w:sz w:val="28"/>
      <w:lang w:eastAsia="en-US"/>
    </w:rPr>
  </w:style>
  <w:style w:type="character" w:styleId="Hyperlink">
    <w:name w:val="Hyperlink"/>
    <w:rPr>
      <w:color w:val="55517B"/>
    </w:rPr>
  </w:style>
  <w:style w:type="paragraph" w:styleId="EndnoteText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styleId="TextonotaalfinalCar" w:customStyle="1">
    <w:name w:val="Texto nota al final Car"/>
    <w:rPr>
      <w:rFonts w:ascii="Arial" w:hAnsi="Arial" w:eastAsia="Arial"/>
      <w:color w:val="002060"/>
      <w:lang w:val="en-US" w:eastAsia="en-US"/>
    </w:rPr>
  </w:style>
  <w:style w:type="character" w:styleId="EndnoteReference">
    <w:name w:val="endnote reference"/>
    <w:rPr>
      <w:position w:val="0"/>
      <w:vertAlign w:val="superscript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styleId="TextocomentarioCar" w:customStyle="1">
    <w:name w:val="Texto comentario Car"/>
    <w:rPr>
      <w:rFonts w:ascii="Arial" w:hAnsi="Arial" w:eastAsia="Arial"/>
      <w:color w:val="002060"/>
      <w:lang w:val="en-US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styleId="AsuntodelcomentarioCar" w:customStyle="1">
    <w:name w:val="Asunto del comentario Car"/>
    <w:rPr>
      <w:rFonts w:ascii="Arial" w:hAnsi="Arial" w:eastAsia="Arial"/>
      <w:b/>
      <w:bCs/>
      <w:color w:val="002060"/>
      <w:lang w:val="en-US" w:eastAsia="en-US"/>
    </w:rPr>
  </w:style>
  <w:style w:type="paragraph" w:styleId="Revision">
    <w:name w:val="Revision"/>
    <w:pPr>
      <w:suppressAutoHyphens/>
    </w:pPr>
    <w:rPr>
      <w:color w:val="002060"/>
      <w:szCs w:val="22"/>
      <w:lang w:val="en-US" w:eastAsia="en-US"/>
    </w:rPr>
  </w:style>
  <w:style w:type="character" w:styleId="FollowedHyperlink">
    <w:name w:val="FollowedHyperlink"/>
    <w:rPr>
      <w:color w:val="0F004E"/>
      <w:u w:val="single"/>
    </w:rPr>
  </w:style>
  <w:style w:type="paragraph" w:styleId="Tablecaptiontext" w:customStyle="1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styleId="Tablecolumntitle" w:customStyle="1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styleId="BoilerPlateChar" w:customStyle="1">
    <w:name w:val="Boiler Plate Char"/>
    <w:rPr>
      <w:rFonts w:ascii="Century Gothic" w:hAnsi="Century Gothic" w:eastAsia="Calibri" w:cs="Calibri"/>
      <w:sz w:val="16"/>
      <w:szCs w:val="14"/>
      <w:lang w:val="en-US" w:eastAsia="en-US"/>
    </w:rPr>
  </w:style>
  <w:style w:type="paragraph" w:styleId="BoilerPlate" w:customStyle="1">
    <w:name w:val="Boiler Plate"/>
    <w:basedOn w:val="Normal"/>
    <w:pPr>
      <w:spacing w:line="254" w:lineRule="auto"/>
      <w:jc w:val="both"/>
    </w:pPr>
    <w:rPr>
      <w:rFonts w:ascii="Century Gothic" w:hAnsi="Century Gothic" w:eastAsia="Calibri" w:cs="Calibri"/>
      <w:color w:val="auto"/>
      <w:sz w:val="16"/>
      <w:szCs w:val="14"/>
      <w:lang w:val="en-US"/>
    </w:rPr>
  </w:style>
  <w:style w:type="paragraph" w:styleId="Pagefooter" w:customStyle="1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styleId="Title3" w:customStyle="1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styleId="Title3Car" w:customStyle="1">
    <w:name w:val="Title 3 Car"/>
    <w:basedOn w:val="DefaultParagraphFont"/>
    <w:rPr>
      <w:rFonts w:ascii="Century Gothic" w:hAnsi="Century Gothic" w:cs="Arial"/>
      <w:b/>
      <w:color w:val="003591"/>
      <w:lang w:val="en-US" w:eastAsia="en-US"/>
    </w:rPr>
  </w:style>
  <w:style w:type="paragraph" w:styleId="Lead-in" w:customStyle="1">
    <w:name w:val="Lead-in"/>
    <w:basedOn w:val="Text"/>
  </w:style>
  <w:style w:type="character" w:styleId="Lead-inCar" w:customStyle="1">
    <w:name w:val="Lead-in Car"/>
    <w:basedOn w:val="TextCar"/>
    <w:rPr>
      <w:rFonts w:ascii="Century Gothic" w:hAnsi="Century Gothic" w:cs="Arial"/>
      <w:lang w:val="en-US" w:eastAsia="en-US"/>
    </w:rPr>
  </w:style>
  <w:style w:type="paragraph" w:styleId="BoxBullet1" w:customStyle="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BoxBullet2" w:customStyle="1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styleId="PrrafodelistaCar" w:customStyle="1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hAnsi="Calibri" w:eastAsia="Century Gothic" w:cs="Calibri"/>
      <w:color w:val="auto"/>
      <w:sz w:val="22"/>
      <w:szCs w:val="22"/>
      <w:lang w:val="en-US" w:eastAsia="fr-FR"/>
    </w:rPr>
  </w:style>
  <w:style w:type="paragraph" w:styleId="paragraph" w:customStyle="1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styleId="normaltextrun" w:customStyle="1">
    <w:name w:val="normaltextrun"/>
    <w:basedOn w:val="DefaultParagraphFont"/>
  </w:style>
  <w:style w:type="character" w:styleId="eop" w:customStyle="1">
    <w:name w:val="eop"/>
    <w:basedOn w:val="DefaultParagraphFont"/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numbering" w:styleId="LFO10" w:customStyle="1">
    <w:name w:val="LFO10"/>
    <w:basedOn w:val="NoList"/>
  </w:style>
  <w:style w:type="numbering" w:styleId="LFO19" w:customStyle="1">
    <w:name w:val="LFO19"/>
    <w:basedOn w:val="NoList"/>
  </w:style>
  <w:style w:type="numbering" w:styleId="LFO20" w:customStyle="1">
    <w:name w:val="LFO20"/>
    <w:basedOn w:val="NoLis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styleId="TableNormal1" w:customStyle="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yperlink" Target="mailto:equipo.edenred@newlink-group.com" TargetMode="External" Id="rId10" /><Relationship Type="http://schemas.openxmlformats.org/officeDocument/2006/relationships/settings" Target="settings.xml" Id="rId4" /><Relationship Type="http://schemas.openxmlformats.org/officeDocument/2006/relationships/hyperlink" Target="mailto:alejandro.delgadosanchez@edenred.com" TargetMode="External" Id="rId9" /><Relationship Type="http://schemas.microsoft.com/office/2016/09/relationships/commentsIds" Target="commentsIds.xml" Id="R1c7a6be62a144dae" /><Relationship Type="http://schemas.microsoft.com/office/2011/relationships/commentsExtended" Target="commentsExtended.xml" Id="Rf225acf6e75d4ebf" /><Relationship Type="http://schemas.microsoft.com/office/2011/relationships/people" Target="people.xml" Id="Raa761d84f810424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COURTOIS Cécile</dc:creator>
  <keywords/>
  <lastModifiedBy>SÁNCHEZ Míriam</lastModifiedBy>
  <revision>132</revision>
  <dcterms:created xsi:type="dcterms:W3CDTF">2025-06-05T04:13:00.0000000Z</dcterms:created>
  <dcterms:modified xsi:type="dcterms:W3CDTF">2025-11-11T11:40:07.5333927Z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