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63F1" w14:textId="26030313" w:rsidR="0034131E" w:rsidRPr="00833D4F" w:rsidRDefault="00054F03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1F513E53">
            <wp:simplePos x="0" y="0"/>
            <wp:positionH relativeFrom="column">
              <wp:posOffset>-19431</wp:posOffset>
            </wp:positionH>
            <wp:positionV relativeFrom="paragraph">
              <wp:posOffset>-343840</wp:posOffset>
            </wp:positionV>
            <wp:extent cx="1345997" cy="833933"/>
            <wp:effectExtent l="0" t="0" r="6985" b="4445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242" cy="83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F9" w:rsidRPr="00833D4F">
        <w:rPr>
          <w:rFonts w:ascii="Century Gothic" w:eastAsia="Century Gothic" w:hAnsi="Century Gothic" w:cs="Century Gothic"/>
          <w:b/>
          <w:color w:val="000000"/>
          <w:sz w:val="28"/>
          <w:szCs w:val="28"/>
          <w:lang w:val="es-ES"/>
        </w:rPr>
        <w:t>Nota de prensa</w:t>
      </w:r>
    </w:p>
    <w:p w14:paraId="2721C22F" w14:textId="1233B754" w:rsidR="0034131E" w:rsidRPr="00833D4F" w:rsidRDefault="00C03BAF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2</w:t>
      </w:r>
      <w:r w:rsidR="00054F03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5</w:t>
      </w:r>
      <w:r w:rsidR="00F71D13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de </w:t>
      </w:r>
      <w:r w:rsidR="00DF1697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>noviembre</w:t>
      </w:r>
      <w:r w:rsidR="00E660F9" w:rsidRPr="00833D4F">
        <w:rPr>
          <w:rFonts w:ascii="Century Gothic" w:eastAsia="Century Gothic" w:hAnsi="Century Gothic" w:cs="Century Gothic"/>
          <w:color w:val="000000"/>
          <w:sz w:val="22"/>
          <w:szCs w:val="22"/>
          <w:lang w:val="es-ES"/>
        </w:rPr>
        <w:t xml:space="preserve"> de 2025</w:t>
      </w:r>
    </w:p>
    <w:p w14:paraId="5523504D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eastAsia="Century Gothic" w:hAnsi="Century Gothic" w:cs="Century Gothic"/>
          <w:color w:val="162056"/>
          <w:sz w:val="48"/>
          <w:szCs w:val="48"/>
          <w:lang w:val="es-ES"/>
        </w:rPr>
      </w:pPr>
    </w:p>
    <w:p w14:paraId="6D96D09C" w14:textId="34D5102E" w:rsidR="00022255" w:rsidRDefault="003E2FB8">
      <w:pPr>
        <w:jc w:val="center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>El</w:t>
      </w:r>
      <w:r w:rsidR="00AE6FF0" w:rsidRPr="00AE6FF0"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 </w:t>
      </w:r>
      <w:proofErr w:type="spellStart"/>
      <w:r w:rsidRPr="003E2FB8">
        <w:rPr>
          <w:rFonts w:ascii="Century Gothic" w:eastAsia="Century Gothic" w:hAnsi="Century Gothic" w:cs="Century Gothic"/>
          <w:color w:val="000000"/>
          <w:sz w:val="44"/>
          <w:szCs w:val="44"/>
        </w:rPr>
        <w:t>menú</w:t>
      </w:r>
      <w:proofErr w:type="spellEnd"/>
      <w:r w:rsidRPr="003E2FB8"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 del </w:t>
      </w:r>
      <w:proofErr w:type="spellStart"/>
      <w:r w:rsidRPr="003E2FB8">
        <w:rPr>
          <w:rFonts w:ascii="Century Gothic" w:eastAsia="Century Gothic" w:hAnsi="Century Gothic" w:cs="Century Gothic"/>
          <w:color w:val="000000"/>
          <w:sz w:val="44"/>
          <w:szCs w:val="44"/>
        </w:rPr>
        <w:t>día</w:t>
      </w:r>
      <w:proofErr w:type="spellEnd"/>
      <w:r w:rsidRPr="003E2FB8"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 se </w:t>
      </w:r>
      <w:proofErr w:type="spellStart"/>
      <w:r w:rsidRPr="003E2FB8">
        <w:rPr>
          <w:rFonts w:ascii="Century Gothic" w:eastAsia="Century Gothic" w:hAnsi="Century Gothic" w:cs="Century Gothic"/>
          <w:color w:val="000000"/>
          <w:sz w:val="44"/>
          <w:szCs w:val="44"/>
        </w:rPr>
        <w:t>sitúa</w:t>
      </w:r>
      <w:proofErr w:type="spellEnd"/>
      <w:r w:rsidRPr="003E2FB8"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 de media en 14,2€ en España</w:t>
      </w:r>
    </w:p>
    <w:p w14:paraId="4618A9F9" w14:textId="77777777" w:rsidR="00A95D2A" w:rsidRDefault="00A95D2A" w:rsidP="0005490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14:paraId="3DD4C914" w14:textId="77777777" w:rsidR="005D09EE" w:rsidRPr="00833D4F" w:rsidRDefault="005D09EE" w:rsidP="00584B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lang w:val="es-ES"/>
        </w:rPr>
      </w:pPr>
    </w:p>
    <w:p w14:paraId="401928B7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  <w:r w:rsidRPr="00584EC4">
        <w:rPr>
          <w:rFonts w:ascii="Century Gothic" w:hAnsi="Century Gothic"/>
          <w:b/>
          <w:bCs/>
          <w:color w:val="auto"/>
        </w:rPr>
        <w:t>Hostelería de España</w:t>
      </w:r>
      <w:r w:rsidRPr="00584EC4">
        <w:rPr>
          <w:rFonts w:ascii="Century Gothic" w:hAnsi="Century Gothic"/>
          <w:color w:val="auto"/>
        </w:rPr>
        <w:t xml:space="preserve"> en </w:t>
      </w:r>
      <w:proofErr w:type="spellStart"/>
      <w:r w:rsidRPr="00584EC4">
        <w:rPr>
          <w:rFonts w:ascii="Century Gothic" w:hAnsi="Century Gothic"/>
          <w:color w:val="auto"/>
        </w:rPr>
        <w:t>colaboración</w:t>
      </w:r>
      <w:proofErr w:type="spellEnd"/>
      <w:r w:rsidRPr="00584EC4">
        <w:rPr>
          <w:rFonts w:ascii="Century Gothic" w:hAnsi="Century Gothic"/>
          <w:color w:val="auto"/>
        </w:rPr>
        <w:t xml:space="preserve"> con </w:t>
      </w:r>
      <w:r w:rsidRPr="00584EC4">
        <w:rPr>
          <w:rFonts w:ascii="Century Gothic" w:hAnsi="Century Gothic"/>
          <w:b/>
          <w:bCs/>
          <w:color w:val="auto"/>
        </w:rPr>
        <w:t>Edenred</w:t>
      </w:r>
      <w:r w:rsidRPr="00584EC4">
        <w:rPr>
          <w:rFonts w:ascii="Century Gothic" w:hAnsi="Century Gothic"/>
          <w:color w:val="auto"/>
        </w:rPr>
        <w:t xml:space="preserve"> ha </w:t>
      </w:r>
      <w:proofErr w:type="spellStart"/>
      <w:r w:rsidRPr="00584EC4">
        <w:rPr>
          <w:rFonts w:ascii="Century Gothic" w:hAnsi="Century Gothic"/>
          <w:color w:val="auto"/>
        </w:rPr>
        <w:t>elaborado</w:t>
      </w:r>
      <w:proofErr w:type="spellEnd"/>
      <w:r w:rsidRPr="00584EC4">
        <w:rPr>
          <w:rFonts w:ascii="Century Gothic" w:hAnsi="Century Gothic"/>
          <w:color w:val="auto"/>
        </w:rPr>
        <w:t xml:space="preserve">, un </w:t>
      </w:r>
      <w:proofErr w:type="spellStart"/>
      <w:r w:rsidRPr="00584EC4">
        <w:rPr>
          <w:rFonts w:ascii="Century Gothic" w:hAnsi="Century Gothic"/>
          <w:color w:val="auto"/>
        </w:rPr>
        <w:t>año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más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color w:val="auto"/>
        </w:rPr>
        <w:t>una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encuesta</w:t>
      </w:r>
      <w:proofErr w:type="spellEnd"/>
      <w:r w:rsidRPr="00584EC4">
        <w:rPr>
          <w:rFonts w:ascii="Century Gothic" w:hAnsi="Century Gothic"/>
          <w:color w:val="auto"/>
        </w:rPr>
        <w:t xml:space="preserve"> para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detectar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la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evolución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menú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día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, </w:t>
      </w:r>
      <w:r w:rsidRPr="00584EC4">
        <w:rPr>
          <w:rFonts w:ascii="Century Gothic" w:hAnsi="Century Gothic"/>
          <w:color w:val="auto"/>
        </w:rPr>
        <w:t xml:space="preserve">que </w:t>
      </w:r>
      <w:proofErr w:type="spellStart"/>
      <w:r w:rsidRPr="00584EC4">
        <w:rPr>
          <w:rFonts w:ascii="Century Gothic" w:hAnsi="Century Gothic"/>
          <w:color w:val="auto"/>
        </w:rPr>
        <w:t>desprende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color w:val="auto"/>
        </w:rPr>
        <w:t xml:space="preserve">que </w:t>
      </w:r>
      <w:r w:rsidRPr="00584EC4">
        <w:rPr>
          <w:rFonts w:ascii="Century Gothic" w:hAnsi="Century Gothic"/>
          <w:b/>
          <w:bCs/>
          <w:color w:val="auto"/>
        </w:rPr>
        <w:t>el</w:t>
      </w:r>
      <w:proofErr w:type="gram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precio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medio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menú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día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es de 14,2 €</w:t>
      </w:r>
      <w:r w:rsidRPr="00584EC4">
        <w:rPr>
          <w:rFonts w:ascii="Century Gothic" w:hAnsi="Century Gothic"/>
          <w:color w:val="auto"/>
        </w:rPr>
        <w:t xml:space="preserve">, un 1,5 % </w:t>
      </w:r>
      <w:proofErr w:type="spellStart"/>
      <w:r w:rsidRPr="00584EC4">
        <w:rPr>
          <w:rFonts w:ascii="Century Gothic" w:hAnsi="Century Gothic"/>
          <w:color w:val="auto"/>
        </w:rPr>
        <w:t>más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color w:val="auto"/>
        </w:rPr>
        <w:t>que el</w:t>
      </w:r>
      <w:proofErr w:type="gram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año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anterior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color w:val="auto"/>
        </w:rPr>
        <w:t>cuando</w:t>
      </w:r>
      <w:proofErr w:type="spellEnd"/>
      <w:r w:rsidRPr="00584EC4">
        <w:rPr>
          <w:rFonts w:ascii="Century Gothic" w:hAnsi="Century Gothic"/>
          <w:color w:val="auto"/>
        </w:rPr>
        <w:t xml:space="preserve"> se </w:t>
      </w:r>
      <w:proofErr w:type="spellStart"/>
      <w:r w:rsidRPr="00584EC4">
        <w:rPr>
          <w:rFonts w:ascii="Century Gothic" w:hAnsi="Century Gothic"/>
          <w:color w:val="auto"/>
        </w:rPr>
        <w:t>situaba</w:t>
      </w:r>
      <w:proofErr w:type="spellEnd"/>
      <w:r w:rsidRPr="00584EC4">
        <w:rPr>
          <w:rFonts w:ascii="Century Gothic" w:hAnsi="Century Gothic"/>
          <w:color w:val="auto"/>
        </w:rPr>
        <w:t xml:space="preserve"> de media en 14 €.</w:t>
      </w:r>
    </w:p>
    <w:p w14:paraId="0558C328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203BC70E" w14:textId="1C80696A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  <w:r w:rsidRPr="00584EC4">
        <w:rPr>
          <w:rFonts w:ascii="Century Gothic" w:hAnsi="Century Gothic"/>
          <w:color w:val="auto"/>
        </w:rPr>
        <w:t xml:space="preserve">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menú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día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es un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recurso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económico</w:t>
      </w:r>
      <w:proofErr w:type="spellEnd"/>
      <w:r w:rsidRPr="00584EC4">
        <w:rPr>
          <w:rFonts w:ascii="Century Gothic" w:hAnsi="Century Gothic"/>
          <w:color w:val="auto"/>
        </w:rPr>
        <w:t xml:space="preserve">, que </w:t>
      </w:r>
      <w:proofErr w:type="spellStart"/>
      <w:r w:rsidRPr="00584EC4">
        <w:rPr>
          <w:rFonts w:ascii="Century Gothic" w:hAnsi="Century Gothic"/>
          <w:color w:val="auto"/>
        </w:rPr>
        <w:t>supone</w:t>
      </w:r>
      <w:proofErr w:type="spellEnd"/>
      <w:r w:rsidRPr="00584EC4">
        <w:rPr>
          <w:rFonts w:ascii="Century Gothic" w:hAnsi="Century Gothic"/>
          <w:color w:val="auto"/>
        </w:rPr>
        <w:t xml:space="preserve"> para </w:t>
      </w:r>
      <w:proofErr w:type="spellStart"/>
      <w:r w:rsidRPr="00584EC4">
        <w:rPr>
          <w:rFonts w:ascii="Century Gothic" w:hAnsi="Century Gothic"/>
          <w:color w:val="auto"/>
        </w:rPr>
        <w:t>las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personas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trabajadoras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r w:rsidRPr="00584EC4">
        <w:rPr>
          <w:rFonts w:ascii="Century Gothic" w:hAnsi="Century Gothic"/>
          <w:b/>
          <w:bCs/>
          <w:color w:val="auto"/>
        </w:rPr>
        <w:t xml:space="preserve">un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paréntesis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en medio de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unas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jornadas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laborales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cada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vez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más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exigentes</w:t>
      </w:r>
      <w:proofErr w:type="spellEnd"/>
      <w:r w:rsidRPr="00584EC4">
        <w:rPr>
          <w:rFonts w:ascii="Century Gothic" w:hAnsi="Century Gothic"/>
          <w:color w:val="auto"/>
        </w:rPr>
        <w:t xml:space="preserve">, que </w:t>
      </w:r>
      <w:proofErr w:type="spellStart"/>
      <w:r w:rsidRPr="00584EC4">
        <w:rPr>
          <w:rFonts w:ascii="Century Gothic" w:hAnsi="Century Gothic"/>
          <w:color w:val="auto"/>
        </w:rPr>
        <w:t>ofrece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una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opción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saludable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sostenible</w:t>
      </w:r>
      <w:proofErr w:type="spellEnd"/>
      <w:r w:rsidRPr="00584EC4">
        <w:rPr>
          <w:rFonts w:ascii="Century Gothic" w:hAnsi="Century Gothic"/>
          <w:color w:val="auto"/>
        </w:rPr>
        <w:t xml:space="preserve">, con </w:t>
      </w:r>
      <w:proofErr w:type="spellStart"/>
      <w:r w:rsidRPr="00584EC4">
        <w:rPr>
          <w:rFonts w:ascii="Century Gothic" w:hAnsi="Century Gothic"/>
          <w:color w:val="auto"/>
        </w:rPr>
        <w:t>productos</w:t>
      </w:r>
      <w:proofErr w:type="spellEnd"/>
      <w:r w:rsidRPr="00584EC4">
        <w:rPr>
          <w:rFonts w:ascii="Century Gothic" w:hAnsi="Century Gothic"/>
          <w:color w:val="auto"/>
        </w:rPr>
        <w:t xml:space="preserve"> de temporada y </w:t>
      </w:r>
      <w:proofErr w:type="spellStart"/>
      <w:r w:rsidRPr="00584EC4">
        <w:rPr>
          <w:rFonts w:ascii="Century Gothic" w:hAnsi="Century Gothic"/>
          <w:color w:val="auto"/>
        </w:rPr>
        <w:t>platos</w:t>
      </w:r>
      <w:proofErr w:type="spellEnd"/>
      <w:r w:rsidRPr="00584EC4">
        <w:rPr>
          <w:rFonts w:ascii="Century Gothic" w:hAnsi="Century Gothic"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color w:val="auto"/>
        </w:rPr>
        <w:t>cuchara</w:t>
      </w:r>
      <w:proofErr w:type="spellEnd"/>
      <w:r w:rsidRPr="00584EC4">
        <w:rPr>
          <w:rFonts w:ascii="Century Gothic" w:hAnsi="Century Gothic"/>
          <w:color w:val="auto"/>
        </w:rPr>
        <w:t xml:space="preserve">, y que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genera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hasta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cuatro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veces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menos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desperdicio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b/>
          <w:bCs/>
          <w:color w:val="auto"/>
        </w:rPr>
        <w:t>que el</w:t>
      </w:r>
      <w:proofErr w:type="gram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consumo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en 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hogar</w:t>
      </w:r>
      <w:proofErr w:type="spellEnd"/>
      <w:r w:rsidRPr="00584EC4">
        <w:rPr>
          <w:rFonts w:ascii="Century Gothic" w:hAnsi="Century Gothic"/>
          <w:color w:val="auto"/>
        </w:rPr>
        <w:t xml:space="preserve">. Sin embargo, el </w:t>
      </w:r>
      <w:proofErr w:type="spellStart"/>
      <w:r w:rsidRPr="00584EC4">
        <w:rPr>
          <w:rFonts w:ascii="Century Gothic" w:hAnsi="Century Gothic"/>
          <w:color w:val="auto"/>
        </w:rPr>
        <w:t>consumidor</w:t>
      </w:r>
      <w:proofErr w:type="spellEnd"/>
      <w:r w:rsidRPr="00584EC4">
        <w:rPr>
          <w:rFonts w:ascii="Century Gothic" w:hAnsi="Century Gothic"/>
          <w:color w:val="auto"/>
        </w:rPr>
        <w:t xml:space="preserve"> es </w:t>
      </w:r>
      <w:proofErr w:type="spellStart"/>
      <w:r w:rsidRPr="00584EC4">
        <w:rPr>
          <w:rFonts w:ascii="Century Gothic" w:hAnsi="Century Gothic"/>
          <w:color w:val="auto"/>
        </w:rPr>
        <w:t>muy</w:t>
      </w:r>
      <w:proofErr w:type="spellEnd"/>
      <w:r w:rsidRPr="00584EC4">
        <w:rPr>
          <w:rFonts w:ascii="Century Gothic" w:hAnsi="Century Gothic"/>
          <w:color w:val="auto"/>
        </w:rPr>
        <w:t xml:space="preserve"> sensible </w:t>
      </w:r>
      <w:proofErr w:type="spellStart"/>
      <w:r w:rsidRPr="00584EC4">
        <w:rPr>
          <w:rFonts w:ascii="Century Gothic" w:hAnsi="Century Gothic"/>
          <w:color w:val="auto"/>
        </w:rPr>
        <w:t>a</w:t>
      </w:r>
      <w:proofErr w:type="spellEnd"/>
      <w:r w:rsidRPr="00584EC4">
        <w:rPr>
          <w:rFonts w:ascii="Century Gothic" w:hAnsi="Century Gothic"/>
          <w:color w:val="auto"/>
        </w:rPr>
        <w:t xml:space="preserve"> las </w:t>
      </w:r>
      <w:proofErr w:type="spellStart"/>
      <w:r w:rsidRPr="00584EC4">
        <w:rPr>
          <w:rFonts w:ascii="Century Gothic" w:hAnsi="Century Gothic"/>
          <w:color w:val="auto"/>
        </w:rPr>
        <w:t>subidas</w:t>
      </w:r>
      <w:proofErr w:type="spellEnd"/>
      <w:r w:rsidRPr="00584EC4">
        <w:rPr>
          <w:rFonts w:ascii="Century Gothic" w:hAnsi="Century Gothic"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color w:val="auto"/>
        </w:rPr>
        <w:t>precio</w:t>
      </w:r>
      <w:proofErr w:type="spellEnd"/>
      <w:r w:rsidRPr="00584EC4">
        <w:rPr>
          <w:rFonts w:ascii="Century Gothic" w:hAnsi="Century Gothic"/>
          <w:color w:val="auto"/>
        </w:rPr>
        <w:t xml:space="preserve">, lo que limita la </w:t>
      </w:r>
      <w:proofErr w:type="spellStart"/>
      <w:r w:rsidRPr="00584EC4">
        <w:rPr>
          <w:rFonts w:ascii="Century Gothic" w:hAnsi="Century Gothic"/>
          <w:color w:val="auto"/>
        </w:rPr>
        <w:t>capacidad</w:t>
      </w:r>
      <w:proofErr w:type="spellEnd"/>
      <w:r w:rsidRPr="00584EC4">
        <w:rPr>
          <w:rFonts w:ascii="Century Gothic" w:hAnsi="Century Gothic"/>
          <w:color w:val="auto"/>
        </w:rPr>
        <w:t xml:space="preserve"> de los </w:t>
      </w:r>
      <w:proofErr w:type="spellStart"/>
      <w:r w:rsidRPr="00584EC4">
        <w:rPr>
          <w:rFonts w:ascii="Century Gothic" w:hAnsi="Century Gothic"/>
          <w:color w:val="auto"/>
        </w:rPr>
        <w:t>hosteleros</w:t>
      </w:r>
      <w:proofErr w:type="spellEnd"/>
      <w:r w:rsidRPr="00584EC4">
        <w:rPr>
          <w:rFonts w:ascii="Century Gothic" w:hAnsi="Century Gothic"/>
          <w:color w:val="auto"/>
        </w:rPr>
        <w:t xml:space="preserve"> para </w:t>
      </w:r>
      <w:proofErr w:type="spellStart"/>
      <w:r w:rsidRPr="00584EC4">
        <w:rPr>
          <w:rFonts w:ascii="Century Gothic" w:hAnsi="Century Gothic"/>
          <w:color w:val="auto"/>
        </w:rPr>
        <w:t>ajustar</w:t>
      </w:r>
      <w:proofErr w:type="spellEnd"/>
      <w:r w:rsidRPr="00584EC4">
        <w:rPr>
          <w:rFonts w:ascii="Century Gothic" w:hAnsi="Century Gothic"/>
          <w:color w:val="auto"/>
        </w:rPr>
        <w:t xml:space="preserve"> sus </w:t>
      </w:r>
      <w:proofErr w:type="spellStart"/>
      <w:r w:rsidRPr="00584EC4">
        <w:rPr>
          <w:rFonts w:ascii="Century Gothic" w:hAnsi="Century Gothic"/>
          <w:color w:val="auto"/>
        </w:rPr>
        <w:t>precios</w:t>
      </w:r>
      <w:proofErr w:type="spellEnd"/>
      <w:r w:rsidRPr="00584EC4">
        <w:rPr>
          <w:rFonts w:ascii="Century Gothic" w:hAnsi="Century Gothic"/>
          <w:color w:val="auto"/>
        </w:rPr>
        <w:t xml:space="preserve">, y </w:t>
      </w:r>
      <w:proofErr w:type="spellStart"/>
      <w:r w:rsidRPr="00584EC4">
        <w:rPr>
          <w:rFonts w:ascii="Century Gothic" w:hAnsi="Century Gothic"/>
          <w:color w:val="auto"/>
        </w:rPr>
        <w:t>afecta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directamente</w:t>
      </w:r>
      <w:proofErr w:type="spellEnd"/>
      <w:r w:rsidRPr="00584EC4">
        <w:rPr>
          <w:rFonts w:ascii="Century Gothic" w:hAnsi="Century Gothic"/>
          <w:color w:val="auto"/>
        </w:rPr>
        <w:t xml:space="preserve"> a sus </w:t>
      </w:r>
      <w:proofErr w:type="spellStart"/>
      <w:r w:rsidRPr="00584EC4">
        <w:rPr>
          <w:rFonts w:ascii="Century Gothic" w:hAnsi="Century Gothic"/>
          <w:color w:val="auto"/>
        </w:rPr>
        <w:t>márgenes</w:t>
      </w:r>
      <w:proofErr w:type="spellEnd"/>
      <w:r w:rsidRPr="00584EC4">
        <w:rPr>
          <w:rFonts w:ascii="Century Gothic" w:hAnsi="Century Gothic"/>
          <w:color w:val="auto"/>
        </w:rPr>
        <w:t xml:space="preserve">. De </w:t>
      </w:r>
      <w:proofErr w:type="spellStart"/>
      <w:r w:rsidRPr="00584EC4">
        <w:rPr>
          <w:rFonts w:ascii="Century Gothic" w:hAnsi="Century Gothic"/>
          <w:color w:val="auto"/>
        </w:rPr>
        <w:t>hecho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color w:val="auto"/>
        </w:rPr>
        <w:t>según</w:t>
      </w:r>
      <w:proofErr w:type="spellEnd"/>
      <w:r w:rsidRPr="00584EC4">
        <w:rPr>
          <w:rFonts w:ascii="Century Gothic" w:hAnsi="Century Gothic"/>
          <w:color w:val="auto"/>
        </w:rPr>
        <w:t xml:space="preserve"> los </w:t>
      </w:r>
      <w:proofErr w:type="spellStart"/>
      <w:r w:rsidRPr="00584EC4">
        <w:rPr>
          <w:rFonts w:ascii="Century Gothic" w:hAnsi="Century Gothic"/>
          <w:color w:val="auto"/>
        </w:rPr>
        <w:t>Indicadores</w:t>
      </w:r>
      <w:proofErr w:type="spellEnd"/>
      <w:r w:rsidRPr="00584EC4">
        <w:rPr>
          <w:rFonts w:ascii="Century Gothic" w:hAnsi="Century Gothic"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color w:val="auto"/>
        </w:rPr>
        <w:t>Actividad</w:t>
      </w:r>
      <w:proofErr w:type="spellEnd"/>
      <w:r w:rsidRPr="00584EC4">
        <w:rPr>
          <w:rFonts w:ascii="Century Gothic" w:hAnsi="Century Gothic"/>
          <w:color w:val="auto"/>
        </w:rPr>
        <w:t xml:space="preserve"> del INE, </w:t>
      </w:r>
      <w:proofErr w:type="spellStart"/>
      <w:r w:rsidRPr="00584EC4">
        <w:rPr>
          <w:rFonts w:ascii="Century Gothic" w:hAnsi="Century Gothic"/>
          <w:color w:val="auto"/>
        </w:rPr>
        <w:t>aunque</w:t>
      </w:r>
      <w:proofErr w:type="spellEnd"/>
      <w:r w:rsidRPr="00584EC4">
        <w:rPr>
          <w:rFonts w:ascii="Century Gothic" w:hAnsi="Century Gothic"/>
          <w:color w:val="auto"/>
        </w:rPr>
        <w:t xml:space="preserve"> la </w:t>
      </w:r>
      <w:proofErr w:type="spellStart"/>
      <w:r w:rsidRPr="00584EC4">
        <w:rPr>
          <w:rFonts w:ascii="Century Gothic" w:hAnsi="Century Gothic"/>
          <w:color w:val="auto"/>
        </w:rPr>
        <w:t>evolución</w:t>
      </w:r>
      <w:proofErr w:type="spellEnd"/>
      <w:r w:rsidRPr="00584EC4">
        <w:rPr>
          <w:rFonts w:ascii="Century Gothic" w:hAnsi="Century Gothic"/>
          <w:color w:val="auto"/>
        </w:rPr>
        <w:t xml:space="preserve"> de la </w:t>
      </w:r>
      <w:proofErr w:type="spellStart"/>
      <w:r w:rsidRPr="00584EC4">
        <w:rPr>
          <w:rFonts w:ascii="Century Gothic" w:hAnsi="Century Gothic"/>
          <w:color w:val="auto"/>
        </w:rPr>
        <w:t>facturación</w:t>
      </w:r>
      <w:proofErr w:type="spellEnd"/>
      <w:r w:rsidRPr="00584EC4">
        <w:rPr>
          <w:rFonts w:ascii="Century Gothic" w:hAnsi="Century Gothic"/>
          <w:color w:val="auto"/>
        </w:rPr>
        <w:t xml:space="preserve"> de la </w:t>
      </w:r>
      <w:proofErr w:type="spellStart"/>
      <w:r w:rsidRPr="00584EC4">
        <w:rPr>
          <w:rFonts w:ascii="Century Gothic" w:hAnsi="Century Gothic"/>
          <w:color w:val="auto"/>
        </w:rPr>
        <w:t>restauración</w:t>
      </w:r>
      <w:proofErr w:type="spellEnd"/>
      <w:r w:rsidRPr="00584EC4">
        <w:rPr>
          <w:rFonts w:ascii="Century Gothic" w:hAnsi="Century Gothic"/>
          <w:color w:val="auto"/>
        </w:rPr>
        <w:t xml:space="preserve"> en la media </w:t>
      </w:r>
      <w:proofErr w:type="spellStart"/>
      <w:r w:rsidRPr="00584EC4">
        <w:rPr>
          <w:rFonts w:ascii="Century Gothic" w:hAnsi="Century Gothic"/>
          <w:color w:val="auto"/>
        </w:rPr>
        <w:t>hasta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agosto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muestra</w:t>
      </w:r>
      <w:proofErr w:type="spellEnd"/>
      <w:r w:rsidRPr="00584EC4">
        <w:rPr>
          <w:rFonts w:ascii="Century Gothic" w:hAnsi="Century Gothic"/>
          <w:color w:val="auto"/>
        </w:rPr>
        <w:t xml:space="preserve"> un </w:t>
      </w:r>
      <w:proofErr w:type="spellStart"/>
      <w:r w:rsidRPr="00584EC4">
        <w:rPr>
          <w:rFonts w:ascii="Century Gothic" w:hAnsi="Century Gothic"/>
          <w:color w:val="auto"/>
        </w:rPr>
        <w:t>crecimiento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color w:val="auto"/>
        </w:rPr>
        <w:t>de un</w:t>
      </w:r>
      <w:proofErr w:type="gramEnd"/>
      <w:r w:rsidRPr="00584EC4">
        <w:rPr>
          <w:rFonts w:ascii="Century Gothic" w:hAnsi="Century Gothic"/>
          <w:color w:val="auto"/>
        </w:rPr>
        <w:t xml:space="preserve"> 3,4%, en </w:t>
      </w:r>
      <w:proofErr w:type="spellStart"/>
      <w:r w:rsidRPr="00584EC4">
        <w:rPr>
          <w:rFonts w:ascii="Century Gothic" w:hAnsi="Century Gothic"/>
          <w:color w:val="auto"/>
        </w:rPr>
        <w:t>términos</w:t>
      </w:r>
      <w:proofErr w:type="spellEnd"/>
      <w:r w:rsidRPr="00584EC4">
        <w:rPr>
          <w:rFonts w:ascii="Century Gothic" w:hAnsi="Century Gothic"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color w:val="auto"/>
        </w:rPr>
        <w:t>rentabilidad</w:t>
      </w:r>
      <w:proofErr w:type="spellEnd"/>
      <w:r w:rsidRPr="00584EC4">
        <w:rPr>
          <w:rFonts w:ascii="Century Gothic" w:hAnsi="Century Gothic"/>
          <w:color w:val="auto"/>
        </w:rPr>
        <w:t xml:space="preserve"> se observa un </w:t>
      </w:r>
      <w:proofErr w:type="spellStart"/>
      <w:r w:rsidRPr="00584EC4">
        <w:rPr>
          <w:rFonts w:ascii="Century Gothic" w:hAnsi="Century Gothic"/>
          <w:color w:val="auto"/>
        </w:rPr>
        <w:t>descenso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color w:val="auto"/>
        </w:rPr>
        <w:t>de un</w:t>
      </w:r>
      <w:proofErr w:type="gramEnd"/>
      <w:r w:rsidRPr="00584EC4">
        <w:rPr>
          <w:rFonts w:ascii="Century Gothic" w:hAnsi="Century Gothic"/>
          <w:color w:val="auto"/>
        </w:rPr>
        <w:t xml:space="preserve"> 0,6%.</w:t>
      </w:r>
    </w:p>
    <w:p w14:paraId="6C8A7ED0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30501E02" w14:textId="3943791F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  <w:proofErr w:type="spellStart"/>
      <w:r w:rsidRPr="00584EC4">
        <w:rPr>
          <w:rFonts w:ascii="Century Gothic" w:hAnsi="Century Gothic"/>
          <w:color w:val="auto"/>
        </w:rPr>
        <w:t>Esto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está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justificado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por</w:t>
      </w:r>
      <w:proofErr w:type="spellEnd"/>
      <w:r w:rsidRPr="00584EC4">
        <w:rPr>
          <w:rFonts w:ascii="Century Gothic" w:hAnsi="Century Gothic"/>
          <w:color w:val="auto"/>
        </w:rPr>
        <w:t xml:space="preserve"> 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aumento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generalizado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los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costes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producción</w:t>
      </w:r>
      <w:proofErr w:type="spellEnd"/>
      <w:r w:rsidRPr="00584EC4">
        <w:rPr>
          <w:rFonts w:ascii="Century Gothic" w:hAnsi="Century Gothic"/>
          <w:color w:val="auto"/>
        </w:rPr>
        <w:t xml:space="preserve">. La </w:t>
      </w:r>
      <w:proofErr w:type="spellStart"/>
      <w:r w:rsidRPr="00584EC4">
        <w:rPr>
          <w:rFonts w:ascii="Century Gothic" w:hAnsi="Century Gothic"/>
          <w:color w:val="auto"/>
        </w:rPr>
        <w:t>tasa</w:t>
      </w:r>
      <w:proofErr w:type="spellEnd"/>
      <w:r w:rsidRPr="00584EC4">
        <w:rPr>
          <w:rFonts w:ascii="Century Gothic" w:hAnsi="Century Gothic"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color w:val="auto"/>
        </w:rPr>
        <w:t>variación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anual</w:t>
      </w:r>
      <w:proofErr w:type="spellEnd"/>
      <w:r w:rsidRPr="00584EC4">
        <w:rPr>
          <w:rFonts w:ascii="Century Gothic" w:hAnsi="Century Gothic"/>
          <w:color w:val="auto"/>
        </w:rPr>
        <w:t xml:space="preserve"> del IPC en España se </w:t>
      </w:r>
      <w:proofErr w:type="spellStart"/>
      <w:r w:rsidRPr="00584EC4">
        <w:rPr>
          <w:rFonts w:ascii="Century Gothic" w:hAnsi="Century Gothic"/>
          <w:color w:val="auto"/>
        </w:rPr>
        <w:t>situó</w:t>
      </w:r>
      <w:proofErr w:type="spellEnd"/>
      <w:r w:rsidRPr="00584EC4">
        <w:rPr>
          <w:rFonts w:ascii="Century Gothic" w:hAnsi="Century Gothic"/>
          <w:color w:val="auto"/>
        </w:rPr>
        <w:t xml:space="preserve"> en el 3% en </w:t>
      </w:r>
      <w:proofErr w:type="spellStart"/>
      <w:r w:rsidRPr="00584EC4">
        <w:rPr>
          <w:rFonts w:ascii="Century Gothic" w:hAnsi="Century Gothic"/>
          <w:color w:val="auto"/>
        </w:rPr>
        <w:t>septiembre</w:t>
      </w:r>
      <w:proofErr w:type="spellEnd"/>
      <w:r w:rsidRPr="00584EC4">
        <w:rPr>
          <w:rFonts w:ascii="Century Gothic" w:hAnsi="Century Gothic"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color w:val="auto"/>
        </w:rPr>
        <w:t>acumula</w:t>
      </w:r>
      <w:proofErr w:type="spellEnd"/>
      <w:r w:rsidRPr="00584EC4">
        <w:rPr>
          <w:rFonts w:ascii="Century Gothic" w:hAnsi="Century Gothic"/>
          <w:color w:val="auto"/>
        </w:rPr>
        <w:t xml:space="preserve"> un 1,7% de </w:t>
      </w:r>
      <w:proofErr w:type="spellStart"/>
      <w:r w:rsidRPr="00584EC4">
        <w:rPr>
          <w:rFonts w:ascii="Century Gothic" w:hAnsi="Century Gothic"/>
          <w:color w:val="auto"/>
        </w:rPr>
        <w:t>subida</w:t>
      </w:r>
      <w:proofErr w:type="spellEnd"/>
      <w:r w:rsidRPr="00584EC4">
        <w:rPr>
          <w:rFonts w:ascii="Century Gothic" w:hAnsi="Century Gothic"/>
          <w:color w:val="auto"/>
        </w:rPr>
        <w:t xml:space="preserve"> en los </w:t>
      </w:r>
      <w:proofErr w:type="spellStart"/>
      <w:r w:rsidRPr="00584EC4">
        <w:rPr>
          <w:rFonts w:ascii="Century Gothic" w:hAnsi="Century Gothic"/>
          <w:color w:val="auto"/>
        </w:rPr>
        <w:t>nueve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primeros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meses</w:t>
      </w:r>
      <w:proofErr w:type="spellEnd"/>
      <w:r w:rsidRPr="00584EC4">
        <w:rPr>
          <w:rFonts w:ascii="Century Gothic" w:hAnsi="Century Gothic"/>
          <w:color w:val="auto"/>
        </w:rPr>
        <w:t xml:space="preserve"> de 2025. Hay que </w:t>
      </w:r>
      <w:proofErr w:type="spellStart"/>
      <w:r w:rsidRPr="00584EC4">
        <w:rPr>
          <w:rFonts w:ascii="Century Gothic" w:hAnsi="Century Gothic"/>
          <w:color w:val="auto"/>
        </w:rPr>
        <w:t>destacar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especialmente</w:t>
      </w:r>
      <w:proofErr w:type="spellEnd"/>
      <w:r w:rsidRPr="00584EC4">
        <w:rPr>
          <w:rFonts w:ascii="Century Gothic" w:hAnsi="Century Gothic"/>
          <w:color w:val="auto"/>
        </w:rPr>
        <w:t xml:space="preserve"> el grupo de </w:t>
      </w:r>
      <w:proofErr w:type="spellStart"/>
      <w:r w:rsidRPr="00584EC4">
        <w:rPr>
          <w:rFonts w:ascii="Century Gothic" w:hAnsi="Century Gothic"/>
          <w:color w:val="auto"/>
        </w:rPr>
        <w:t>alimentos</w:t>
      </w:r>
      <w:proofErr w:type="spellEnd"/>
      <w:r w:rsidRPr="00584EC4">
        <w:rPr>
          <w:rFonts w:ascii="Century Gothic" w:hAnsi="Century Gothic"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color w:val="auto"/>
        </w:rPr>
        <w:t>bebidas</w:t>
      </w:r>
      <w:proofErr w:type="spellEnd"/>
      <w:r w:rsidRPr="00584EC4">
        <w:rPr>
          <w:rFonts w:ascii="Century Gothic" w:hAnsi="Century Gothic"/>
          <w:color w:val="auto"/>
        </w:rPr>
        <w:t xml:space="preserve">, que, si bien ha </w:t>
      </w:r>
      <w:proofErr w:type="spellStart"/>
      <w:r w:rsidRPr="00584EC4">
        <w:rPr>
          <w:rFonts w:ascii="Century Gothic" w:hAnsi="Century Gothic"/>
          <w:color w:val="auto"/>
        </w:rPr>
        <w:t>moderado</w:t>
      </w:r>
      <w:proofErr w:type="spellEnd"/>
      <w:r w:rsidRPr="00584EC4">
        <w:rPr>
          <w:rFonts w:ascii="Century Gothic" w:hAnsi="Century Gothic"/>
          <w:color w:val="auto"/>
        </w:rPr>
        <w:t xml:space="preserve"> su </w:t>
      </w:r>
      <w:proofErr w:type="spellStart"/>
      <w:r w:rsidRPr="00584EC4">
        <w:rPr>
          <w:rFonts w:ascii="Century Gothic" w:hAnsi="Century Gothic"/>
          <w:color w:val="auto"/>
        </w:rPr>
        <w:t>crecimiento</w:t>
      </w:r>
      <w:proofErr w:type="spellEnd"/>
      <w:r w:rsidRPr="00584EC4">
        <w:rPr>
          <w:rFonts w:ascii="Century Gothic" w:hAnsi="Century Gothic"/>
          <w:color w:val="auto"/>
        </w:rPr>
        <w:t xml:space="preserve"> en el </w:t>
      </w:r>
      <w:proofErr w:type="spellStart"/>
      <w:r w:rsidRPr="00584EC4">
        <w:rPr>
          <w:rFonts w:ascii="Century Gothic" w:hAnsi="Century Gothic"/>
          <w:color w:val="auto"/>
        </w:rPr>
        <w:t>último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año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algunos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productos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básicos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para 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sector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suponen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subidas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anuales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doble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dígito</w:t>
      </w:r>
      <w:proofErr w:type="spellEnd"/>
      <w:r w:rsidRPr="00584EC4">
        <w:rPr>
          <w:rFonts w:ascii="Century Gothic" w:hAnsi="Century Gothic"/>
          <w:color w:val="auto"/>
        </w:rPr>
        <w:t xml:space="preserve">. En </w:t>
      </w:r>
      <w:proofErr w:type="spellStart"/>
      <w:r w:rsidRPr="00584EC4">
        <w:rPr>
          <w:rFonts w:ascii="Century Gothic" w:hAnsi="Century Gothic"/>
          <w:color w:val="auto"/>
        </w:rPr>
        <w:t>concreto</w:t>
      </w:r>
      <w:proofErr w:type="spellEnd"/>
      <w:r w:rsidRPr="00584EC4">
        <w:rPr>
          <w:rFonts w:ascii="Century Gothic" w:hAnsi="Century Gothic"/>
          <w:color w:val="auto"/>
        </w:rPr>
        <w:t xml:space="preserve">, los </w:t>
      </w:r>
      <w:proofErr w:type="spellStart"/>
      <w:r w:rsidRPr="00584EC4">
        <w:rPr>
          <w:rFonts w:ascii="Century Gothic" w:hAnsi="Century Gothic"/>
          <w:color w:val="auto"/>
        </w:rPr>
        <w:t>huevos</w:t>
      </w:r>
      <w:proofErr w:type="spellEnd"/>
      <w:r w:rsidRPr="00584EC4">
        <w:rPr>
          <w:rFonts w:ascii="Century Gothic" w:hAnsi="Century Gothic"/>
          <w:color w:val="auto"/>
        </w:rPr>
        <w:t xml:space="preserve"> (+17,9% </w:t>
      </w:r>
      <w:proofErr w:type="spellStart"/>
      <w:r w:rsidRPr="00584EC4">
        <w:rPr>
          <w:rFonts w:ascii="Century Gothic" w:hAnsi="Century Gothic"/>
          <w:color w:val="auto"/>
        </w:rPr>
        <w:t>anual</w:t>
      </w:r>
      <w:proofErr w:type="spellEnd"/>
      <w:r w:rsidRPr="00584EC4">
        <w:rPr>
          <w:rFonts w:ascii="Century Gothic" w:hAnsi="Century Gothic"/>
          <w:color w:val="auto"/>
        </w:rPr>
        <w:t xml:space="preserve">, +15,9% </w:t>
      </w:r>
      <w:proofErr w:type="spellStart"/>
      <w:r w:rsidRPr="00584EC4">
        <w:rPr>
          <w:rFonts w:ascii="Century Gothic" w:hAnsi="Century Gothic"/>
          <w:color w:val="auto"/>
        </w:rPr>
        <w:t>acumulado</w:t>
      </w:r>
      <w:proofErr w:type="spellEnd"/>
      <w:r w:rsidRPr="00584EC4">
        <w:rPr>
          <w:rFonts w:ascii="Century Gothic" w:hAnsi="Century Gothic"/>
          <w:color w:val="auto"/>
        </w:rPr>
        <w:t xml:space="preserve">), la carne de </w:t>
      </w:r>
      <w:proofErr w:type="spellStart"/>
      <w:r w:rsidRPr="00584EC4">
        <w:rPr>
          <w:rFonts w:ascii="Century Gothic" w:hAnsi="Century Gothic"/>
          <w:color w:val="auto"/>
        </w:rPr>
        <w:t>vacuno</w:t>
      </w:r>
      <w:proofErr w:type="spellEnd"/>
      <w:r w:rsidRPr="00584EC4">
        <w:rPr>
          <w:rFonts w:ascii="Century Gothic" w:hAnsi="Century Gothic"/>
          <w:color w:val="auto"/>
        </w:rPr>
        <w:t xml:space="preserve"> (+16,5%, +10,7% </w:t>
      </w:r>
      <w:proofErr w:type="spellStart"/>
      <w:r w:rsidRPr="00584EC4">
        <w:rPr>
          <w:rFonts w:ascii="Century Gothic" w:hAnsi="Century Gothic"/>
          <w:color w:val="auto"/>
        </w:rPr>
        <w:t>acumulado</w:t>
      </w:r>
      <w:proofErr w:type="spellEnd"/>
      <w:r w:rsidRPr="00584EC4">
        <w:rPr>
          <w:rFonts w:ascii="Century Gothic" w:hAnsi="Century Gothic"/>
          <w:color w:val="auto"/>
        </w:rPr>
        <w:t xml:space="preserve">) y el café (+19,9%, +13,2% </w:t>
      </w:r>
      <w:proofErr w:type="spellStart"/>
      <w:r w:rsidRPr="00584EC4">
        <w:rPr>
          <w:rFonts w:ascii="Century Gothic" w:hAnsi="Century Gothic"/>
          <w:color w:val="auto"/>
        </w:rPr>
        <w:t>acumulado</w:t>
      </w:r>
      <w:proofErr w:type="spellEnd"/>
      <w:r w:rsidRPr="00584EC4">
        <w:rPr>
          <w:rFonts w:ascii="Century Gothic" w:hAnsi="Century Gothic"/>
          <w:color w:val="auto"/>
        </w:rPr>
        <w:t xml:space="preserve">). </w:t>
      </w:r>
      <w:proofErr w:type="spellStart"/>
      <w:r w:rsidRPr="00584EC4">
        <w:rPr>
          <w:rFonts w:ascii="Century Gothic" w:hAnsi="Century Gothic"/>
          <w:color w:val="auto"/>
        </w:rPr>
        <w:t>Por</w:t>
      </w:r>
      <w:proofErr w:type="spellEnd"/>
      <w:r w:rsidRPr="00584EC4">
        <w:rPr>
          <w:rFonts w:ascii="Century Gothic" w:hAnsi="Century Gothic"/>
          <w:color w:val="auto"/>
        </w:rPr>
        <w:t xml:space="preserve"> su parte, el </w:t>
      </w:r>
      <w:proofErr w:type="spellStart"/>
      <w:r w:rsidRPr="00584EC4">
        <w:rPr>
          <w:rFonts w:ascii="Century Gothic" w:hAnsi="Century Gothic"/>
          <w:color w:val="auto"/>
        </w:rPr>
        <w:t>aceite</w:t>
      </w:r>
      <w:proofErr w:type="spellEnd"/>
      <w:r w:rsidRPr="00584EC4">
        <w:rPr>
          <w:rFonts w:ascii="Century Gothic" w:hAnsi="Century Gothic"/>
          <w:color w:val="auto"/>
        </w:rPr>
        <w:t xml:space="preserve"> de oliva ha </w:t>
      </w:r>
      <w:proofErr w:type="spellStart"/>
      <w:r w:rsidRPr="00584EC4">
        <w:rPr>
          <w:rFonts w:ascii="Century Gothic" w:hAnsi="Century Gothic"/>
          <w:color w:val="auto"/>
        </w:rPr>
        <w:t>descendido</w:t>
      </w:r>
      <w:proofErr w:type="spellEnd"/>
      <w:r w:rsidRPr="00584EC4">
        <w:rPr>
          <w:rFonts w:ascii="Century Gothic" w:hAnsi="Century Gothic"/>
          <w:color w:val="auto"/>
        </w:rPr>
        <w:t xml:space="preserve"> en los </w:t>
      </w:r>
      <w:proofErr w:type="spellStart"/>
      <w:r w:rsidRPr="00584EC4">
        <w:rPr>
          <w:rFonts w:ascii="Century Gothic" w:hAnsi="Century Gothic"/>
          <w:color w:val="auto"/>
        </w:rPr>
        <w:t>últimos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meses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color w:val="auto"/>
        </w:rPr>
        <w:t>aunque</w:t>
      </w:r>
      <w:proofErr w:type="spellEnd"/>
      <w:r w:rsidRPr="00584EC4">
        <w:rPr>
          <w:rFonts w:ascii="Century Gothic" w:hAnsi="Century Gothic"/>
          <w:color w:val="auto"/>
        </w:rPr>
        <w:t xml:space="preserve"> el </w:t>
      </w:r>
      <w:proofErr w:type="spellStart"/>
      <w:r w:rsidRPr="00584EC4">
        <w:rPr>
          <w:rFonts w:ascii="Century Gothic" w:hAnsi="Century Gothic"/>
          <w:color w:val="auto"/>
        </w:rPr>
        <w:t>conjunto</w:t>
      </w:r>
      <w:proofErr w:type="spellEnd"/>
      <w:r w:rsidRPr="00584EC4">
        <w:rPr>
          <w:rFonts w:ascii="Century Gothic" w:hAnsi="Century Gothic"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color w:val="auto"/>
        </w:rPr>
        <w:t>otros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aceites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supone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una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subida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color w:val="auto"/>
        </w:rPr>
        <w:t>de un</w:t>
      </w:r>
      <w:proofErr w:type="gramEnd"/>
      <w:r w:rsidRPr="00584EC4">
        <w:rPr>
          <w:rFonts w:ascii="Century Gothic" w:hAnsi="Century Gothic"/>
          <w:color w:val="auto"/>
        </w:rPr>
        <w:t xml:space="preserve"> 18,2% en </w:t>
      </w:r>
      <w:proofErr w:type="spellStart"/>
      <w:r w:rsidRPr="00584EC4">
        <w:rPr>
          <w:rFonts w:ascii="Century Gothic" w:hAnsi="Century Gothic"/>
          <w:color w:val="auto"/>
        </w:rPr>
        <w:t>septiembre</w:t>
      </w:r>
      <w:proofErr w:type="spellEnd"/>
      <w:r w:rsidRPr="00584EC4">
        <w:rPr>
          <w:rFonts w:ascii="Century Gothic" w:hAnsi="Century Gothic"/>
          <w:color w:val="auto"/>
        </w:rPr>
        <w:t xml:space="preserve"> y un 7,5% en el </w:t>
      </w:r>
      <w:proofErr w:type="spellStart"/>
      <w:r w:rsidRPr="00584EC4">
        <w:rPr>
          <w:rFonts w:ascii="Century Gothic" w:hAnsi="Century Gothic"/>
          <w:color w:val="auto"/>
        </w:rPr>
        <w:t>acumulado</w:t>
      </w:r>
      <w:proofErr w:type="spellEnd"/>
      <w:r w:rsidRPr="00584EC4">
        <w:rPr>
          <w:rFonts w:ascii="Century Gothic" w:hAnsi="Century Gothic"/>
          <w:color w:val="auto"/>
        </w:rPr>
        <w:t xml:space="preserve">. </w:t>
      </w:r>
    </w:p>
    <w:p w14:paraId="00FC0DBB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0C9BF5DE" w14:textId="182FE8A0" w:rsidR="00106125" w:rsidRPr="00584EC4" w:rsidRDefault="00106125" w:rsidP="00106125">
      <w:pPr>
        <w:jc w:val="both"/>
        <w:rPr>
          <w:rFonts w:ascii="Century Gothic" w:hAnsi="Century Gothic"/>
          <w:b/>
          <w:bCs/>
          <w:color w:val="auto"/>
        </w:rPr>
      </w:pPr>
      <w:r w:rsidRPr="00584EC4">
        <w:rPr>
          <w:rFonts w:ascii="Century Gothic" w:hAnsi="Century Gothic"/>
          <w:color w:val="auto"/>
        </w:rPr>
        <w:t xml:space="preserve">A </w:t>
      </w:r>
      <w:proofErr w:type="spellStart"/>
      <w:r w:rsidRPr="00584EC4">
        <w:rPr>
          <w:rFonts w:ascii="Century Gothic" w:hAnsi="Century Gothic"/>
          <w:color w:val="auto"/>
        </w:rPr>
        <w:t>esto</w:t>
      </w:r>
      <w:proofErr w:type="spellEnd"/>
      <w:r w:rsidRPr="00584EC4">
        <w:rPr>
          <w:rFonts w:ascii="Century Gothic" w:hAnsi="Century Gothic"/>
          <w:color w:val="auto"/>
        </w:rPr>
        <w:t xml:space="preserve"> se </w:t>
      </w:r>
      <w:proofErr w:type="spellStart"/>
      <w:r w:rsidRPr="00584EC4">
        <w:rPr>
          <w:rFonts w:ascii="Century Gothic" w:hAnsi="Century Gothic"/>
          <w:color w:val="auto"/>
        </w:rPr>
        <w:t>suma</w:t>
      </w:r>
      <w:proofErr w:type="spellEnd"/>
      <w:r w:rsidRPr="00584EC4">
        <w:rPr>
          <w:rFonts w:ascii="Century Gothic" w:hAnsi="Century Gothic"/>
          <w:color w:val="auto"/>
        </w:rPr>
        <w:t xml:space="preserve"> 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incremento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en 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último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año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coste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la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electricidad</w:t>
      </w:r>
      <w:proofErr w:type="spellEnd"/>
      <w:r w:rsidRPr="00584EC4">
        <w:rPr>
          <w:rFonts w:ascii="Century Gothic" w:hAnsi="Century Gothic"/>
          <w:color w:val="auto"/>
        </w:rPr>
        <w:t xml:space="preserve"> (+16,8% en </w:t>
      </w:r>
      <w:proofErr w:type="spellStart"/>
      <w:r w:rsidRPr="00584EC4">
        <w:rPr>
          <w:rFonts w:ascii="Century Gothic" w:hAnsi="Century Gothic"/>
          <w:color w:val="auto"/>
        </w:rPr>
        <w:t>septiembre</w:t>
      </w:r>
      <w:proofErr w:type="spellEnd"/>
      <w:r w:rsidRPr="00584EC4">
        <w:rPr>
          <w:rFonts w:ascii="Century Gothic" w:hAnsi="Century Gothic"/>
          <w:color w:val="auto"/>
        </w:rPr>
        <w:t xml:space="preserve"> y +9,3% en el </w:t>
      </w:r>
      <w:proofErr w:type="spellStart"/>
      <w:r w:rsidRPr="00584EC4">
        <w:rPr>
          <w:rFonts w:ascii="Century Gothic" w:hAnsi="Century Gothic"/>
          <w:color w:val="auto"/>
        </w:rPr>
        <w:t>acumulado</w:t>
      </w:r>
      <w:proofErr w:type="spellEnd"/>
      <w:r w:rsidRPr="00584EC4">
        <w:rPr>
          <w:rFonts w:ascii="Century Gothic" w:hAnsi="Century Gothic"/>
          <w:color w:val="auto"/>
        </w:rPr>
        <w:t xml:space="preserve">), </w:t>
      </w:r>
      <w:proofErr w:type="spellStart"/>
      <w:r w:rsidRPr="00584EC4">
        <w:rPr>
          <w:rFonts w:ascii="Century Gothic" w:hAnsi="Century Gothic"/>
          <w:color w:val="auto"/>
        </w:rPr>
        <w:t>así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como</w:t>
      </w:r>
      <w:proofErr w:type="spellEnd"/>
      <w:r w:rsidRPr="00584EC4">
        <w:rPr>
          <w:rFonts w:ascii="Century Gothic" w:hAnsi="Century Gothic"/>
          <w:color w:val="auto"/>
        </w:rPr>
        <w:t xml:space="preserve"> la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subida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la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cuota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los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autónomos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y de los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alquileres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>.</w:t>
      </w:r>
    </w:p>
    <w:p w14:paraId="14724596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5633EF88" w14:textId="60A77CF9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  <w:proofErr w:type="spellStart"/>
      <w:r w:rsidRPr="00584EC4">
        <w:rPr>
          <w:rFonts w:ascii="Century Gothic" w:hAnsi="Century Gothic"/>
          <w:color w:val="auto"/>
        </w:rPr>
        <w:t>Por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otro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lado</w:t>
      </w:r>
      <w:proofErr w:type="spellEnd"/>
      <w:r w:rsidRPr="00584EC4">
        <w:rPr>
          <w:rFonts w:ascii="Century Gothic" w:hAnsi="Century Gothic"/>
          <w:color w:val="auto"/>
        </w:rPr>
        <w:t xml:space="preserve">, la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evolución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los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costes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laborales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para la rama de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Restauración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supone</w:t>
      </w:r>
      <w:proofErr w:type="spellEnd"/>
      <w:r w:rsidRPr="00584EC4">
        <w:rPr>
          <w:rFonts w:ascii="Century Gothic" w:hAnsi="Century Gothic"/>
          <w:color w:val="auto"/>
        </w:rPr>
        <w:t xml:space="preserve"> un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crecimiento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b/>
          <w:bCs/>
          <w:color w:val="auto"/>
        </w:rPr>
        <w:t>de</w:t>
      </w:r>
      <w:r w:rsidRPr="00584EC4">
        <w:rPr>
          <w:rFonts w:ascii="Century Gothic" w:hAnsi="Century Gothic"/>
          <w:color w:val="auto"/>
        </w:rPr>
        <w:t xml:space="preserve"> </w:t>
      </w:r>
      <w:r w:rsidRPr="00584EC4">
        <w:rPr>
          <w:rFonts w:ascii="Century Gothic" w:hAnsi="Century Gothic"/>
          <w:b/>
          <w:bCs/>
          <w:color w:val="auto"/>
        </w:rPr>
        <w:t>un</w:t>
      </w:r>
      <w:proofErr w:type="gramEnd"/>
      <w:r w:rsidRPr="00584EC4">
        <w:rPr>
          <w:rFonts w:ascii="Century Gothic" w:hAnsi="Century Gothic"/>
          <w:b/>
          <w:bCs/>
          <w:color w:val="auto"/>
        </w:rPr>
        <w:t xml:space="preserve"> 1,3% en el primer semestre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respecto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al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mismo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período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año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anterior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color w:val="auto"/>
        </w:rPr>
        <w:t>según</w:t>
      </w:r>
      <w:proofErr w:type="spellEnd"/>
      <w:r w:rsidRPr="00584EC4">
        <w:rPr>
          <w:rFonts w:ascii="Century Gothic" w:hAnsi="Century Gothic"/>
          <w:color w:val="auto"/>
        </w:rPr>
        <w:t xml:space="preserve"> la </w:t>
      </w:r>
      <w:proofErr w:type="spellStart"/>
      <w:r w:rsidRPr="00584EC4">
        <w:rPr>
          <w:rFonts w:ascii="Century Gothic" w:hAnsi="Century Gothic"/>
          <w:color w:val="auto"/>
        </w:rPr>
        <w:t>Encuesta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Trimestral</w:t>
      </w:r>
      <w:proofErr w:type="spellEnd"/>
      <w:r w:rsidRPr="00584EC4">
        <w:rPr>
          <w:rFonts w:ascii="Century Gothic" w:hAnsi="Century Gothic"/>
          <w:color w:val="auto"/>
        </w:rPr>
        <w:t xml:space="preserve"> de Coste </w:t>
      </w:r>
      <w:proofErr w:type="spellStart"/>
      <w:r w:rsidRPr="00584EC4">
        <w:rPr>
          <w:rFonts w:ascii="Century Gothic" w:hAnsi="Century Gothic"/>
          <w:color w:val="auto"/>
        </w:rPr>
        <w:t>Laboral</w:t>
      </w:r>
      <w:proofErr w:type="spellEnd"/>
      <w:r w:rsidRPr="00584EC4">
        <w:rPr>
          <w:rFonts w:ascii="Century Gothic" w:hAnsi="Century Gothic"/>
          <w:color w:val="auto"/>
        </w:rPr>
        <w:t>.</w:t>
      </w:r>
    </w:p>
    <w:p w14:paraId="217922DA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4F09FF45" w14:textId="7EE4445C" w:rsidR="00106125" w:rsidRPr="00584EC4" w:rsidRDefault="00106125" w:rsidP="00106125">
      <w:pPr>
        <w:jc w:val="both"/>
        <w:rPr>
          <w:rFonts w:ascii="Century Gothic" w:hAnsi="Century Gothic"/>
          <w:b/>
          <w:bCs/>
          <w:color w:val="auto"/>
        </w:rPr>
      </w:pPr>
      <w:r w:rsidRPr="00584EC4">
        <w:rPr>
          <w:rFonts w:ascii="Century Gothic" w:hAnsi="Century Gothic"/>
          <w:b/>
          <w:bCs/>
          <w:color w:val="auto"/>
        </w:rPr>
        <w:t xml:space="preserve">La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evolución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menú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día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en las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comunidades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autónomas</w:t>
      </w:r>
      <w:proofErr w:type="spellEnd"/>
    </w:p>
    <w:p w14:paraId="134D0807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4D92E297" w14:textId="0D39C026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  <w:proofErr w:type="spellStart"/>
      <w:r w:rsidRPr="00584EC4">
        <w:rPr>
          <w:rFonts w:ascii="Century Gothic" w:hAnsi="Century Gothic"/>
          <w:color w:val="auto"/>
        </w:rPr>
        <w:t>Por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comunidades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autónomas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Canarias</w:t>
      </w:r>
      <w:proofErr w:type="spellEnd"/>
      <w:r w:rsidRPr="00584EC4">
        <w:rPr>
          <w:rFonts w:ascii="Century Gothic" w:hAnsi="Century Gothic"/>
          <w:color w:val="auto"/>
        </w:rPr>
        <w:t xml:space="preserve"> (13 €),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Asturias</w:t>
      </w:r>
      <w:proofErr w:type="spellEnd"/>
      <w:r w:rsidRPr="00584EC4">
        <w:rPr>
          <w:rFonts w:ascii="Century Gothic" w:hAnsi="Century Gothic"/>
          <w:color w:val="auto"/>
        </w:rPr>
        <w:t xml:space="preserve"> (13,2 €), y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Andalucía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y Murcia</w:t>
      </w:r>
      <w:r w:rsidRPr="00584EC4">
        <w:rPr>
          <w:rFonts w:ascii="Century Gothic" w:hAnsi="Century Gothic"/>
          <w:color w:val="auto"/>
        </w:rPr>
        <w:t xml:space="preserve"> (13,4 € las dos)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suponen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los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precios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más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económicos</w:t>
      </w:r>
      <w:proofErr w:type="spellEnd"/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color w:val="auto"/>
        </w:rPr>
        <w:t>mientras</w:t>
      </w:r>
      <w:proofErr w:type="spellEnd"/>
      <w:r w:rsidRPr="00584EC4">
        <w:rPr>
          <w:rFonts w:ascii="Century Gothic" w:hAnsi="Century Gothic"/>
          <w:color w:val="auto"/>
        </w:rPr>
        <w:t xml:space="preserve"> que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Baleares</w:t>
      </w:r>
      <w:proofErr w:type="spellEnd"/>
      <w:r w:rsidRPr="00584EC4">
        <w:rPr>
          <w:rFonts w:ascii="Century Gothic" w:hAnsi="Century Gothic"/>
          <w:color w:val="auto"/>
        </w:rPr>
        <w:t xml:space="preserve"> (16 €)</w:t>
      </w:r>
      <w:r w:rsidRPr="00584EC4">
        <w:rPr>
          <w:rFonts w:ascii="Century Gothic" w:hAnsi="Century Gothic"/>
          <w:b/>
          <w:bCs/>
          <w:color w:val="auto"/>
        </w:rPr>
        <w:t>, País Vasco</w:t>
      </w:r>
      <w:r w:rsidRPr="00584EC4">
        <w:rPr>
          <w:rFonts w:ascii="Century Gothic" w:hAnsi="Century Gothic"/>
          <w:color w:val="auto"/>
        </w:rPr>
        <w:t xml:space="preserve"> (15,8 €) y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Cataluña</w:t>
      </w:r>
      <w:proofErr w:type="spellEnd"/>
      <w:r w:rsidRPr="00584EC4">
        <w:rPr>
          <w:rFonts w:ascii="Century Gothic" w:hAnsi="Century Gothic"/>
          <w:color w:val="auto"/>
        </w:rPr>
        <w:t xml:space="preserve"> (15,4 €),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tienen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media los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precios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más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elevados</w:t>
      </w:r>
      <w:proofErr w:type="spellEnd"/>
      <w:r w:rsidRPr="00584EC4">
        <w:rPr>
          <w:rFonts w:ascii="Century Gothic" w:hAnsi="Century Gothic"/>
          <w:color w:val="auto"/>
        </w:rPr>
        <w:t>.</w:t>
      </w:r>
    </w:p>
    <w:p w14:paraId="0F115C4F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170BA39C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  <w:proofErr w:type="spellStart"/>
      <w:r w:rsidRPr="00584EC4">
        <w:rPr>
          <w:rFonts w:ascii="Century Gothic" w:hAnsi="Century Gothic"/>
          <w:b/>
          <w:bCs/>
          <w:color w:val="auto"/>
        </w:rPr>
        <w:t>Baleares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(16 €), Extremadura (13,7 €) y País Vasco (15,8 €)</w:t>
      </w:r>
      <w:r w:rsidRPr="00584EC4">
        <w:rPr>
          <w:rFonts w:ascii="Century Gothic" w:hAnsi="Century Gothic"/>
          <w:color w:val="auto"/>
        </w:rPr>
        <w:t xml:space="preserve">, no han </w:t>
      </w:r>
      <w:proofErr w:type="spellStart"/>
      <w:r w:rsidRPr="00584EC4">
        <w:rPr>
          <w:rFonts w:ascii="Century Gothic" w:hAnsi="Century Gothic"/>
          <w:color w:val="auto"/>
        </w:rPr>
        <w:t>subido</w:t>
      </w:r>
      <w:proofErr w:type="spellEnd"/>
      <w:r w:rsidRPr="00584EC4">
        <w:rPr>
          <w:rFonts w:ascii="Century Gothic" w:hAnsi="Century Gothic"/>
          <w:color w:val="auto"/>
        </w:rPr>
        <w:t xml:space="preserve"> el </w:t>
      </w:r>
      <w:proofErr w:type="spellStart"/>
      <w:r w:rsidRPr="00584EC4">
        <w:rPr>
          <w:rFonts w:ascii="Century Gothic" w:hAnsi="Century Gothic"/>
          <w:color w:val="auto"/>
        </w:rPr>
        <w:t>precio</w:t>
      </w:r>
      <w:proofErr w:type="spellEnd"/>
      <w:r w:rsidRPr="00584EC4">
        <w:rPr>
          <w:rFonts w:ascii="Century Gothic" w:hAnsi="Century Gothic"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color w:val="auto"/>
        </w:rPr>
        <w:t>menú</w:t>
      </w:r>
      <w:proofErr w:type="spellEnd"/>
      <w:r w:rsidRPr="00584EC4">
        <w:rPr>
          <w:rFonts w:ascii="Century Gothic" w:hAnsi="Century Gothic"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color w:val="auto"/>
        </w:rPr>
        <w:t>día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respecto</w:t>
      </w:r>
      <w:proofErr w:type="spellEnd"/>
      <w:r w:rsidRPr="00584EC4">
        <w:rPr>
          <w:rFonts w:ascii="Century Gothic" w:hAnsi="Century Gothic"/>
          <w:color w:val="auto"/>
        </w:rPr>
        <w:t xml:space="preserve"> al </w:t>
      </w:r>
      <w:proofErr w:type="spellStart"/>
      <w:r w:rsidRPr="00584EC4">
        <w:rPr>
          <w:rFonts w:ascii="Century Gothic" w:hAnsi="Century Gothic"/>
          <w:color w:val="auto"/>
        </w:rPr>
        <w:t>año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color w:val="auto"/>
        </w:rPr>
        <w:t>anterior</w:t>
      </w:r>
      <w:proofErr w:type="spellEnd"/>
      <w:r w:rsidRPr="00584EC4">
        <w:rPr>
          <w:rFonts w:ascii="Century Gothic" w:hAnsi="Century Gothic"/>
          <w:color w:val="auto"/>
        </w:rPr>
        <w:t>.</w:t>
      </w:r>
    </w:p>
    <w:p w14:paraId="34D27885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3490489A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  <w:r w:rsidRPr="00584EC4">
        <w:rPr>
          <w:rFonts w:ascii="Century Gothic" w:hAnsi="Century Gothic"/>
          <w:color w:val="auto"/>
        </w:rPr>
        <w:lastRenderedPageBreak/>
        <w:t>Para</w:t>
      </w:r>
      <w:r w:rsidRPr="00584EC4">
        <w:rPr>
          <w:rFonts w:ascii="Century Gothic" w:hAnsi="Century Gothic"/>
          <w:b/>
          <w:bCs/>
          <w:color w:val="auto"/>
        </w:rPr>
        <w:t xml:space="preserve"> José Luis Álvarez Almeida,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presidente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Hostelería de España</w:t>
      </w:r>
      <w:r w:rsidRPr="00584EC4">
        <w:rPr>
          <w:rFonts w:ascii="Century Gothic" w:hAnsi="Century Gothic"/>
          <w:color w:val="auto"/>
        </w:rPr>
        <w:t xml:space="preserve">, el </w:t>
      </w:r>
      <w:proofErr w:type="spellStart"/>
      <w:r w:rsidRPr="00584EC4">
        <w:rPr>
          <w:rFonts w:ascii="Century Gothic" w:hAnsi="Century Gothic"/>
          <w:color w:val="auto"/>
        </w:rPr>
        <w:t>menú</w:t>
      </w:r>
      <w:proofErr w:type="spellEnd"/>
      <w:r w:rsidRPr="00584EC4">
        <w:rPr>
          <w:rFonts w:ascii="Century Gothic" w:hAnsi="Century Gothic"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color w:val="auto"/>
        </w:rPr>
        <w:t>día</w:t>
      </w:r>
      <w:proofErr w:type="spellEnd"/>
      <w:r w:rsidRPr="00584EC4">
        <w:rPr>
          <w:rFonts w:ascii="Century Gothic" w:hAnsi="Century Gothic"/>
          <w:color w:val="auto"/>
        </w:rPr>
        <w:t xml:space="preserve"> “</w:t>
      </w:r>
      <w:r w:rsidRPr="00584EC4">
        <w:rPr>
          <w:rFonts w:ascii="Century Gothic" w:hAnsi="Century Gothic"/>
          <w:i/>
          <w:iCs/>
          <w:color w:val="auto"/>
        </w:rPr>
        <w:t xml:space="preserve">es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una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propuesta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muy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arraigada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en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nuestro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país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utilizada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diariamente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por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cientos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de miles de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personas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que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acceden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una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opción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variada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saludable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equilibrada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a un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precio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muy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ajustado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. El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menú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día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, ante la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evolución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una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sociedad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que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cada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vez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cocina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menos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, también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supone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i/>
          <w:iCs/>
          <w:color w:val="auto"/>
        </w:rPr>
        <w:t>un garante</w:t>
      </w:r>
      <w:proofErr w:type="gramEnd"/>
      <w:r w:rsidRPr="00584EC4">
        <w:rPr>
          <w:rFonts w:ascii="Century Gothic" w:hAnsi="Century Gothic"/>
          <w:i/>
          <w:i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nuestro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acerbo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culinario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gastronomía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típica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cada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zona</w:t>
      </w:r>
      <w:r w:rsidRPr="00584EC4">
        <w:rPr>
          <w:rFonts w:ascii="Century Gothic" w:hAnsi="Century Gothic"/>
          <w:color w:val="auto"/>
        </w:rPr>
        <w:t xml:space="preserve">”. </w:t>
      </w:r>
    </w:p>
    <w:p w14:paraId="33F75912" w14:textId="77777777" w:rsidR="00106125" w:rsidRPr="00584EC4" w:rsidRDefault="00106125" w:rsidP="00106125">
      <w:pPr>
        <w:jc w:val="both"/>
        <w:rPr>
          <w:rFonts w:ascii="Century Gothic" w:hAnsi="Century Gothic"/>
          <w:color w:val="auto"/>
        </w:rPr>
      </w:pPr>
    </w:p>
    <w:p w14:paraId="1E3E06E0" w14:textId="77777777" w:rsidR="00106125" w:rsidRPr="00584EC4" w:rsidRDefault="00106125" w:rsidP="00106125">
      <w:pPr>
        <w:jc w:val="both"/>
        <w:rPr>
          <w:rFonts w:ascii="Century Gothic" w:hAnsi="Century Gothic"/>
          <w:b/>
          <w:bCs/>
          <w:i/>
          <w:iCs/>
          <w:color w:val="auto"/>
        </w:rPr>
      </w:pPr>
      <w:proofErr w:type="spellStart"/>
      <w:r w:rsidRPr="00584EC4">
        <w:rPr>
          <w:rFonts w:ascii="Century Gothic" w:hAnsi="Century Gothic"/>
          <w:color w:val="auto"/>
        </w:rPr>
        <w:t>Por</w:t>
      </w:r>
      <w:proofErr w:type="spellEnd"/>
      <w:r w:rsidRPr="00584EC4">
        <w:rPr>
          <w:rFonts w:ascii="Century Gothic" w:hAnsi="Century Gothic"/>
          <w:color w:val="auto"/>
        </w:rPr>
        <w:t xml:space="preserve"> su parte, </w:t>
      </w:r>
      <w:r w:rsidRPr="00584EC4">
        <w:rPr>
          <w:rFonts w:ascii="Century Gothic" w:hAnsi="Century Gothic"/>
          <w:b/>
          <w:bCs/>
          <w:color w:val="auto"/>
        </w:rPr>
        <w:t xml:space="preserve">Cristina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Afán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directora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Asuntos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Públicos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Edenred España</w:t>
      </w:r>
      <w:r w:rsidRPr="00584EC4">
        <w:rPr>
          <w:rFonts w:ascii="Century Gothic" w:hAnsi="Century Gothic"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color w:val="auto"/>
        </w:rPr>
        <w:t>afirma</w:t>
      </w:r>
      <w:proofErr w:type="spellEnd"/>
      <w:r w:rsidRPr="00584EC4">
        <w:rPr>
          <w:rFonts w:ascii="Century Gothic" w:hAnsi="Century Gothic"/>
          <w:color w:val="auto"/>
        </w:rPr>
        <w:t xml:space="preserve"> </w:t>
      </w:r>
      <w:proofErr w:type="gramStart"/>
      <w:r w:rsidRPr="00584EC4">
        <w:rPr>
          <w:rFonts w:ascii="Century Gothic" w:hAnsi="Century Gothic"/>
          <w:color w:val="auto"/>
        </w:rPr>
        <w:t>que:</w:t>
      </w:r>
      <w:proofErr w:type="gramEnd"/>
      <w:r w:rsidRPr="00584EC4">
        <w:rPr>
          <w:rFonts w:ascii="Century Gothic" w:hAnsi="Century Gothic"/>
          <w:color w:val="auto"/>
        </w:rPr>
        <w:t xml:space="preserve"> </w:t>
      </w:r>
      <w:r w:rsidRPr="00584EC4">
        <w:rPr>
          <w:rFonts w:ascii="Century Gothic" w:hAnsi="Century Gothic"/>
          <w:i/>
          <w:iCs/>
          <w:color w:val="auto"/>
        </w:rPr>
        <w:t>“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Soluciones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como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Ticket Restaurant son </w:t>
      </w:r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un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motor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para la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hostelería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española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ya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que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impulsan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el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consumo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diario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en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bares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restaurantes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locales</w:t>
      </w:r>
      <w:r w:rsidRPr="00584EC4">
        <w:rPr>
          <w:rFonts w:ascii="Century Gothic" w:hAnsi="Century Gothic"/>
          <w:i/>
          <w:iCs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dinamizan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un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sector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clave para la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economía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país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. </w:t>
      </w:r>
      <w:proofErr w:type="spellStart"/>
      <w:r w:rsidRPr="00584EC4">
        <w:rPr>
          <w:rFonts w:ascii="Century Gothic" w:hAnsi="Century Gothic"/>
          <w:i/>
          <w:iCs/>
          <w:color w:val="auto"/>
        </w:rPr>
        <w:t>Desde</w:t>
      </w:r>
      <w:proofErr w:type="spellEnd"/>
      <w:r w:rsidRPr="00584EC4">
        <w:rPr>
          <w:rFonts w:ascii="Century Gothic" w:hAnsi="Century Gothic"/>
          <w:i/>
          <w:iCs/>
          <w:color w:val="auto"/>
        </w:rPr>
        <w:t xml:space="preserve"> Edenred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creemos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que ha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llegado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el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momento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actualizar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el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límite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exención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diaria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actualmente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fijado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en 11 euros, para que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esta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herramienta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siga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generando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valor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>.</w:t>
      </w:r>
      <w:r w:rsidRPr="00584EC4">
        <w:rPr>
          <w:rFonts w:ascii="Century Gothic" w:hAnsi="Century Gothic"/>
          <w:i/>
          <w:iCs/>
          <w:color w:val="auto"/>
        </w:rPr>
        <w:t xml:space="preserve"> Su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impacto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beneficia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profesionales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hosteleros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y también a la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Administración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Pública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,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ya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que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contribuye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mejorar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la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conciliación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, a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desestacionalizar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la demanda y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respalda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políticas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de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bienestar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laboral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y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salud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i/>
          <w:iCs/>
          <w:color w:val="auto"/>
        </w:rPr>
        <w:t>alimentaria</w:t>
      </w:r>
      <w:proofErr w:type="spellEnd"/>
      <w:r w:rsidRPr="00584EC4">
        <w:rPr>
          <w:rFonts w:ascii="Century Gothic" w:hAnsi="Century Gothic"/>
          <w:b/>
          <w:bCs/>
          <w:i/>
          <w:iCs/>
          <w:color w:val="auto"/>
        </w:rPr>
        <w:t>.”</w:t>
      </w:r>
    </w:p>
    <w:p w14:paraId="06EC7606" w14:textId="5A40B1F6" w:rsidR="004B6C7F" w:rsidRPr="00584EC4" w:rsidRDefault="004B6C7F" w:rsidP="0005490B">
      <w:pPr>
        <w:jc w:val="both"/>
        <w:rPr>
          <w:rFonts w:ascii="Century Gothic" w:eastAsia="Century Gothic" w:hAnsi="Century Gothic" w:cs="Century Gothic"/>
          <w:b/>
          <w:bCs/>
          <w:color w:val="auto"/>
        </w:rPr>
      </w:pPr>
    </w:p>
    <w:p w14:paraId="66B03CB9" w14:textId="77777777" w:rsidR="004402DC" w:rsidRPr="00584EC4" w:rsidRDefault="004402DC" w:rsidP="004402DC">
      <w:pPr>
        <w:spacing w:line="240" w:lineRule="auto"/>
        <w:jc w:val="both"/>
        <w:rPr>
          <w:b/>
          <w:bCs/>
          <w:color w:val="auto"/>
        </w:rPr>
      </w:pPr>
    </w:p>
    <w:p w14:paraId="1216706F" w14:textId="77777777" w:rsidR="004402DC" w:rsidRPr="00584EC4" w:rsidRDefault="004402DC" w:rsidP="004402DC">
      <w:pPr>
        <w:shd w:val="clear" w:color="auto" w:fill="D9D9D9"/>
        <w:spacing w:line="240" w:lineRule="auto"/>
        <w:ind w:left="142"/>
        <w:jc w:val="center"/>
        <w:rPr>
          <w:rFonts w:ascii="Century Gothic" w:hAnsi="Century Gothic"/>
          <w:b/>
          <w:bCs/>
          <w:color w:val="auto"/>
        </w:rPr>
      </w:pPr>
      <w:proofErr w:type="spellStart"/>
      <w:r w:rsidRPr="00584EC4">
        <w:rPr>
          <w:rFonts w:ascii="Century Gothic" w:hAnsi="Century Gothic"/>
          <w:b/>
          <w:bCs/>
          <w:color w:val="auto"/>
        </w:rPr>
        <w:t>Precio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medio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menú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del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día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(en euros)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por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Comunidades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</w:t>
      </w:r>
      <w:proofErr w:type="spellStart"/>
      <w:r w:rsidRPr="00584EC4">
        <w:rPr>
          <w:rFonts w:ascii="Century Gothic" w:hAnsi="Century Gothic"/>
          <w:b/>
          <w:bCs/>
          <w:color w:val="auto"/>
        </w:rPr>
        <w:t>Autónomas</w:t>
      </w:r>
      <w:proofErr w:type="spellEnd"/>
      <w:r w:rsidRPr="00584EC4">
        <w:rPr>
          <w:rFonts w:ascii="Century Gothic" w:hAnsi="Century Gothic"/>
          <w:b/>
          <w:bCs/>
          <w:color w:val="auto"/>
        </w:rPr>
        <w:t xml:space="preserve"> 2025</w:t>
      </w:r>
    </w:p>
    <w:p w14:paraId="01E40308" w14:textId="77777777" w:rsidR="004402DC" w:rsidRPr="00584EC4" w:rsidRDefault="004402DC" w:rsidP="004402DC">
      <w:pPr>
        <w:spacing w:line="240" w:lineRule="auto"/>
        <w:jc w:val="both"/>
        <w:rPr>
          <w:rFonts w:ascii="Calibri" w:eastAsia="Calibri" w:hAnsi="Calibri" w:cs="Times New Roman"/>
          <w:color w:val="auto"/>
          <w:sz w:val="24"/>
          <w:szCs w:val="24"/>
        </w:rPr>
      </w:pPr>
    </w:p>
    <w:tbl>
      <w:tblPr>
        <w:tblW w:w="524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693"/>
      </w:tblGrid>
      <w:tr w:rsidR="00584EC4" w:rsidRPr="00584EC4" w14:paraId="6E19001A" w14:textId="77777777" w:rsidTr="001A1E02">
        <w:trPr>
          <w:trHeight w:val="302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4FFEE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B25E2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br/>
              <w:t>2025</w:t>
            </w:r>
          </w:p>
        </w:tc>
      </w:tr>
      <w:tr w:rsidR="00584EC4" w:rsidRPr="00584EC4" w14:paraId="29D671AC" w14:textId="77777777" w:rsidTr="001A1E02">
        <w:trPr>
          <w:trHeight w:val="130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25DDB4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Andalucía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57B730C2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13,4</w:t>
            </w:r>
          </w:p>
        </w:tc>
      </w:tr>
      <w:tr w:rsidR="00584EC4" w:rsidRPr="00584EC4" w14:paraId="2E349AF9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D39C3E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Aragón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B1DB850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13,9</w:t>
            </w:r>
          </w:p>
        </w:tc>
      </w:tr>
      <w:tr w:rsidR="00584EC4" w:rsidRPr="00584EC4" w14:paraId="74F2C82C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2A07FE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Asturias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E816453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13,2</w:t>
            </w:r>
          </w:p>
        </w:tc>
      </w:tr>
      <w:tr w:rsidR="00584EC4" w:rsidRPr="00584EC4" w14:paraId="6816D75E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F64249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Baleares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259BF91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16,0</w:t>
            </w:r>
          </w:p>
        </w:tc>
      </w:tr>
      <w:tr w:rsidR="00584EC4" w:rsidRPr="00584EC4" w14:paraId="7AE8CA30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512C1B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Canarias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815E46B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13,0</w:t>
            </w:r>
          </w:p>
        </w:tc>
      </w:tr>
      <w:tr w:rsidR="00584EC4" w:rsidRPr="00584EC4" w14:paraId="7343BBA2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A1943D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Cantabria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4C0CB4B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13,8</w:t>
            </w:r>
          </w:p>
        </w:tc>
      </w:tr>
      <w:tr w:rsidR="00584EC4" w:rsidRPr="00584EC4" w14:paraId="05ABE254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2952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Castilla y León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477DED2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14,3</w:t>
            </w:r>
          </w:p>
        </w:tc>
      </w:tr>
      <w:tr w:rsidR="00584EC4" w:rsidRPr="00584EC4" w14:paraId="1BD6B13E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16614C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Castilla - La Mancha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B9F5D9A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13,6</w:t>
            </w:r>
          </w:p>
        </w:tc>
      </w:tr>
      <w:tr w:rsidR="00584EC4" w:rsidRPr="00584EC4" w14:paraId="3FC7A686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5A5844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Cataluña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2F8D9C9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15,4</w:t>
            </w:r>
          </w:p>
        </w:tc>
      </w:tr>
      <w:tr w:rsidR="00584EC4" w:rsidRPr="00584EC4" w14:paraId="66BBA671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4C267D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Com. de Madrid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96D7203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14,5</w:t>
            </w:r>
          </w:p>
        </w:tc>
      </w:tr>
      <w:tr w:rsidR="00584EC4" w:rsidRPr="00584EC4" w14:paraId="1756D1A5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ED3696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 xml:space="preserve">Com. </w:t>
            </w: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Valenciana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253E3CB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15,2</w:t>
            </w:r>
          </w:p>
        </w:tc>
      </w:tr>
      <w:tr w:rsidR="00584EC4" w:rsidRPr="00584EC4" w14:paraId="249A23A9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B553D2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Extremadura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5F5D97EC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13,7</w:t>
            </w:r>
          </w:p>
        </w:tc>
      </w:tr>
      <w:tr w:rsidR="00584EC4" w:rsidRPr="00584EC4" w14:paraId="0ED2DEB5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56C596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Galicia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3E6F85D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13,5</w:t>
            </w:r>
          </w:p>
        </w:tc>
      </w:tr>
      <w:tr w:rsidR="00584EC4" w:rsidRPr="00584EC4" w14:paraId="56D06BD1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B66DD7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Murcia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53A0B1C3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13,4</w:t>
            </w:r>
          </w:p>
        </w:tc>
      </w:tr>
      <w:tr w:rsidR="00584EC4" w:rsidRPr="00584EC4" w14:paraId="6DB3CAD8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C512EF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proofErr w:type="spellStart"/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Navarra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77424C7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14,9</w:t>
            </w:r>
          </w:p>
        </w:tc>
      </w:tr>
      <w:tr w:rsidR="00584EC4" w:rsidRPr="00584EC4" w14:paraId="34743922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79B788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>País Vasco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982A802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15,8</w:t>
            </w:r>
          </w:p>
        </w:tc>
      </w:tr>
      <w:tr w:rsidR="00584EC4" w:rsidRPr="00584EC4" w14:paraId="1F5E9906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C0901C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Times New Roman" w:hAnsi="Century Gothic" w:cs="Calibri"/>
                <w:b/>
                <w:bCs/>
                <w:color w:val="auto"/>
                <w:sz w:val="22"/>
                <w:szCs w:val="22"/>
                <w:lang w:eastAsia="es-ES"/>
              </w:rPr>
              <w:t xml:space="preserve">La Rioja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B657C4F" w14:textId="77777777" w:rsidR="004402DC" w:rsidRPr="00584EC4" w:rsidRDefault="004402DC" w:rsidP="001A1E02">
            <w:pPr>
              <w:spacing w:line="240" w:lineRule="auto"/>
              <w:jc w:val="center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  <w:r w:rsidRPr="00584EC4"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  <w:t>14,1</w:t>
            </w:r>
          </w:p>
        </w:tc>
      </w:tr>
      <w:tr w:rsidR="004402DC" w:rsidRPr="00584EC4" w14:paraId="38C43A2F" w14:textId="77777777" w:rsidTr="001A1E02">
        <w:trPr>
          <w:trHeight w:val="287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21491C" w14:textId="77777777" w:rsidR="004402DC" w:rsidRPr="00584EC4" w:rsidRDefault="004402DC" w:rsidP="001A1E02">
            <w:pPr>
              <w:spacing w:line="240" w:lineRule="auto"/>
              <w:rPr>
                <w:rFonts w:ascii="Century Gothic" w:eastAsia="Times New Roman" w:hAnsi="Century Gothic" w:cs="Calibri"/>
                <w:color w:val="auto"/>
                <w:sz w:val="22"/>
                <w:szCs w:val="22"/>
                <w:lang w:eastAsia="es-ES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6FE670E" w14:textId="77777777" w:rsidR="004402DC" w:rsidRPr="00584EC4" w:rsidRDefault="004402DC" w:rsidP="004402DC">
            <w:pPr>
              <w:spacing w:line="240" w:lineRule="auto"/>
              <w:rPr>
                <w:rFonts w:ascii="Century Gothic" w:eastAsia="Calibri" w:hAnsi="Century Gothic" w:cs="Times New Roman"/>
                <w:color w:val="auto"/>
                <w:sz w:val="22"/>
                <w:szCs w:val="22"/>
              </w:rPr>
            </w:pPr>
          </w:p>
        </w:tc>
      </w:tr>
    </w:tbl>
    <w:p w14:paraId="3197A3D7" w14:textId="77777777" w:rsidR="001509D5" w:rsidRPr="00584EC4" w:rsidRDefault="001509D5" w:rsidP="0005490B">
      <w:pPr>
        <w:jc w:val="both"/>
        <w:rPr>
          <w:rFonts w:ascii="Century Gothic" w:eastAsia="Century Gothic" w:hAnsi="Century Gothic" w:cs="Century Gothic"/>
          <w:b/>
          <w:bCs/>
          <w:color w:val="auto"/>
        </w:rPr>
      </w:pPr>
    </w:p>
    <w:p w14:paraId="5900CA33" w14:textId="77777777" w:rsidR="004402DC" w:rsidRPr="00584EC4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auto"/>
        </w:rPr>
      </w:pPr>
    </w:p>
    <w:p w14:paraId="29E45D9B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2F3ECD75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5CC859A3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2A62F40B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7696CC21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3DD53300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584D7BF0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0B4B9D80" w14:textId="77777777" w:rsidR="004402DC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045D770A" w14:textId="77777777" w:rsidR="004402DC" w:rsidRPr="0005490B" w:rsidRDefault="004402DC" w:rsidP="0005490B">
      <w:pPr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51E74DA8" w14:textId="350A9506" w:rsidR="0034131E" w:rsidRPr="00833D4F" w:rsidRDefault="00E660F9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lang w:val="es-ES"/>
        </w:rPr>
        <w:lastRenderedPageBreak/>
        <w:t>▬▬</w:t>
      </w:r>
    </w:p>
    <w:p w14:paraId="319B1527" w14:textId="77777777" w:rsidR="0034131E" w:rsidRPr="00833D4F" w:rsidRDefault="0034131E">
      <w:pPr>
        <w:jc w:val="both"/>
        <w:rPr>
          <w:rFonts w:ascii="Century Gothic" w:eastAsia="Century Gothic" w:hAnsi="Century Gothic" w:cs="Century Gothic"/>
          <w:lang w:val="es-ES"/>
        </w:rPr>
      </w:pPr>
    </w:p>
    <w:p w14:paraId="25873AF5" w14:textId="77777777" w:rsidR="0034131E" w:rsidRPr="00833D4F" w:rsidRDefault="00E660F9">
      <w:pPr>
        <w:jc w:val="both"/>
        <w:rPr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Sobre Edenred</w:t>
      </w:r>
    </w:p>
    <w:p w14:paraId="4FED8EE9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</w:p>
    <w:p w14:paraId="67906C8A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Edenred</w:t>
      </w: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es una plataforma digital líder en servicios y pagos, que actúa como el compañero diario de las personas en el trabajo, facilitando la conexión entre más de 60 millones de usuarios y 2 millones de comercios asociados en 45 países, a través de 1 millón de clientes corporativos. </w:t>
      </w:r>
    </w:p>
    <w:p w14:paraId="2AA0D98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77C6D3E1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Su oferta se basa en soluciones de pago de propósito específico, diseñadas para mejorar la experiencia laboral y la eficiencia empresarial. En el ámbito de la alimentación, Edenred ofrece beneficios como tarjetas de comida y vales de alimentos, que facilitan el acceso a opciones más saludables. En el área de compromiso y bienestar, proporciona soluciones como tarjetas regalo y plataformas de incentivos, que refuerzan la motivación y fidelización del talento. En movilidad, facilita el acceso a soluciones multimodales, incluyendo carga de vehículos eléctricos, mantenimiento, peajes y estacionamiento, contribuyendo a un entorno de transporte más sostenible. Finalmente, en pagos corporativos, ofrece herramientas como tarjetas virtuales, que optimizan la gestión financiera y simplifican las transacciones empresariales.</w:t>
      </w:r>
    </w:p>
    <w:p w14:paraId="21BB60E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2C80D1F0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Fiel a su propósito, "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Enrich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connections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.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For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good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.", Edenred trabaja para mejorar el bienestar y el poder adquisitivo de los usuarios, incrementar la atractividad y eficiencia de las empresas, y dinamizar el mercado laboral y la economía local. Su impacto también se traduce en el fomento de una alimentación más saludable, el acceso a productos más sostenibles y el impulso de una movilidad más ecológica.</w:t>
      </w:r>
    </w:p>
    <w:p w14:paraId="6502A61F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31ABED79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Con un equipo de 12.000 empleados, Edenred se compromete cada día a hacer del mundo laboral un ecosistema más conectado, seguro, eficiente y responsable. En 2024, gracias a su infraestructura tecnológica global, el Grupo gestionó un volumen de negocio cercano a 45.000 millones de euros, operado principalmente a través de aplicaciones móviles, plataformas online y tarjetas.</w:t>
      </w:r>
    </w:p>
    <w:p w14:paraId="2BC1F840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4B5D790E" w14:textId="77777777" w:rsidR="0034131E" w:rsidRPr="00833D4F" w:rsidRDefault="00E660F9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Edenred cotiza en la Bolsa de París (Euronext) y forma parte de los principales índices bursátiles, incluyendo CAC 40, CAC 40 ESG, CAC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Large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60, Euronext 100, Euronext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Tech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Leaders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, FTSE4Good, DJSI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Europe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, DJSI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World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Index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 xml:space="preserve"> y MSCI </w:t>
      </w:r>
      <w:proofErr w:type="spellStart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Europe</w:t>
      </w:r>
      <w:proofErr w:type="spellEnd"/>
      <w:r w:rsidRPr="00833D4F"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  <w:t>.</w:t>
      </w:r>
    </w:p>
    <w:p w14:paraId="5BF9E4B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1CC7A655" w14:textId="77777777" w:rsidR="0034131E" w:rsidRPr="00833D4F" w:rsidRDefault="00E660F9">
      <w:pPr>
        <w:spacing w:line="240" w:lineRule="auto"/>
        <w:jc w:val="both"/>
        <w:rPr>
          <w:rFonts w:ascii="Century Gothic" w:eastAsia="Century Gothic" w:hAnsi="Century Gothic" w:cs="Century Gothic"/>
          <w:i/>
          <w:color w:val="000000"/>
          <w:sz w:val="16"/>
          <w:szCs w:val="16"/>
          <w:lang w:val="es-ES"/>
        </w:rPr>
      </w:pPr>
      <w:r w:rsidRPr="00833D4F">
        <w:rPr>
          <w:rFonts w:ascii="Century Gothic" w:eastAsia="Century Gothic" w:hAnsi="Century Gothic" w:cs="Century Gothic"/>
          <w:i/>
          <w:color w:val="000000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14:paraId="60992604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6E54591E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b/>
          <w:color w:val="000000"/>
          <w:sz w:val="24"/>
          <w:szCs w:val="24"/>
          <w:lang w:val="es-ES"/>
        </w:rPr>
      </w:pPr>
    </w:p>
    <w:p w14:paraId="34EBC2CB" w14:textId="77777777" w:rsidR="0034131E" w:rsidRDefault="00E660F9">
      <w:pPr>
        <w:spacing w:line="254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B8FE" w14:textId="77777777" w:rsidR="0034131E" w:rsidRDefault="0034131E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3E71BA8C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14:paraId="2C0E5145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14:paraId="3C5097B0" w14:textId="77777777" w:rsidR="0034131E" w:rsidRDefault="00E660F9">
            <w:pPr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Communications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Specialist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</w:t>
            </w:r>
          </w:p>
          <w:p w14:paraId="7AD809AF" w14:textId="77777777" w:rsidR="0034131E" w:rsidRDefault="0034131E">
            <w:pPr>
              <w:jc w:val="both"/>
            </w:pPr>
            <w:hyperlink r:id="rId9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14:paraId="4CF87B1B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9073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188D7D39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Newlink Spain </w:t>
            </w:r>
          </w:p>
          <w:p w14:paraId="0709A77C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Marina Gascón | Patricia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Vizcaíno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| Sara García</w:t>
            </w:r>
          </w:p>
          <w:p w14:paraId="186B073B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651 96 34 59</w:t>
            </w:r>
          </w:p>
          <w:p w14:paraId="5D012B56" w14:textId="77777777" w:rsidR="0034131E" w:rsidRDefault="0034131E">
            <w:pPr>
              <w:spacing w:line="251" w:lineRule="auto"/>
            </w:pPr>
            <w:hyperlink r:id="rId10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14:paraId="71CD1086" w14:textId="77777777" w:rsidR="0034131E" w:rsidRDefault="0034131E">
      <w:pPr>
        <w:ind w:left="141"/>
        <w:rPr>
          <w:color w:val="002060"/>
        </w:rPr>
      </w:pPr>
    </w:p>
    <w:p w14:paraId="62FFDE23" w14:textId="77777777" w:rsidR="0034131E" w:rsidRDefault="0034131E">
      <w:pPr>
        <w:tabs>
          <w:tab w:val="left" w:pos="2760"/>
        </w:tabs>
      </w:pPr>
    </w:p>
    <w:sectPr w:rsidR="0034131E"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7BCD8" w14:textId="77777777" w:rsidR="00B43D04" w:rsidRDefault="00B43D04">
      <w:pPr>
        <w:spacing w:line="240" w:lineRule="auto"/>
      </w:pPr>
      <w:r>
        <w:separator/>
      </w:r>
    </w:p>
  </w:endnote>
  <w:endnote w:type="continuationSeparator" w:id="0">
    <w:p w14:paraId="3E894CA6" w14:textId="77777777" w:rsidR="00B43D04" w:rsidRDefault="00B43D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6738831-ADAE-43EE-8CC9-E22947ACD07F}"/>
    <w:embedBold r:id="rId2" w:fontKey="{92EA8F5C-60A0-4F8D-A468-D862580A1637}"/>
    <w:embedItalic r:id="rId3" w:fontKey="{0A997F0E-864B-4CDB-B3A6-7995CE03DB55}"/>
    <w:embedBoldItalic r:id="rId4" w:fontKey="{4E2C978E-7120-45FD-872A-B9F4DB02DC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581DE7-DFE5-438B-A1D3-6DB7CA5DA6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2842199-58E0-48E7-B96D-4ACEF36924C9}"/>
    <w:embedBold r:id="rId7" w:fontKey="{F4E1D246-562B-4E08-9D9D-E774A0C84F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FB2CAEA-5136-471E-821F-71C68562F0F7}"/>
    <w:embedItalic r:id="rId9" w:fontKey="{E7C185F3-9FDD-447E-8574-FB7B4F444CD8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E2AB044A-4613-4029-A21A-76686DCC8CF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3BD0A643-9110-4DAC-B652-70ECDC26E7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5193" w14:textId="77777777" w:rsidR="0034131E" w:rsidRDefault="00E66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F6FFF" w14:textId="77777777" w:rsidR="00B43D04" w:rsidRDefault="00B43D04">
      <w:pPr>
        <w:spacing w:line="240" w:lineRule="auto"/>
      </w:pPr>
      <w:r>
        <w:separator/>
      </w:r>
    </w:p>
  </w:footnote>
  <w:footnote w:type="continuationSeparator" w:id="0">
    <w:p w14:paraId="400FDA3C" w14:textId="77777777" w:rsidR="00B43D04" w:rsidRDefault="00B43D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0246018">
    <w:abstractNumId w:val="1"/>
  </w:num>
  <w:num w:numId="2" w16cid:durableId="620915189">
    <w:abstractNumId w:val="0"/>
  </w:num>
  <w:num w:numId="3" w16cid:durableId="950282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22255"/>
    <w:rsid w:val="000323C6"/>
    <w:rsid w:val="00035309"/>
    <w:rsid w:val="000417DA"/>
    <w:rsid w:val="000512F0"/>
    <w:rsid w:val="00053526"/>
    <w:rsid w:val="0005490B"/>
    <w:rsid w:val="00054F03"/>
    <w:rsid w:val="000873EB"/>
    <w:rsid w:val="00092205"/>
    <w:rsid w:val="000A4CBF"/>
    <w:rsid w:val="000F4162"/>
    <w:rsid w:val="00106125"/>
    <w:rsid w:val="00124824"/>
    <w:rsid w:val="00125440"/>
    <w:rsid w:val="001325F8"/>
    <w:rsid w:val="001361C7"/>
    <w:rsid w:val="001509D5"/>
    <w:rsid w:val="001533EB"/>
    <w:rsid w:val="001724EC"/>
    <w:rsid w:val="0017574A"/>
    <w:rsid w:val="0018413A"/>
    <w:rsid w:val="00196D68"/>
    <w:rsid w:val="001B3304"/>
    <w:rsid w:val="001C4938"/>
    <w:rsid w:val="001D2A91"/>
    <w:rsid w:val="001D65D3"/>
    <w:rsid w:val="001E738B"/>
    <w:rsid w:val="001F79A2"/>
    <w:rsid w:val="00202F85"/>
    <w:rsid w:val="00240C55"/>
    <w:rsid w:val="002665DB"/>
    <w:rsid w:val="002A08A5"/>
    <w:rsid w:val="002AC8F9"/>
    <w:rsid w:val="002D4BFB"/>
    <w:rsid w:val="002E2116"/>
    <w:rsid w:val="00306C54"/>
    <w:rsid w:val="00323902"/>
    <w:rsid w:val="0034131E"/>
    <w:rsid w:val="003470F9"/>
    <w:rsid w:val="00350B2A"/>
    <w:rsid w:val="003530F0"/>
    <w:rsid w:val="00372049"/>
    <w:rsid w:val="00372C87"/>
    <w:rsid w:val="0039534F"/>
    <w:rsid w:val="003C0022"/>
    <w:rsid w:val="003D2293"/>
    <w:rsid w:val="003D5524"/>
    <w:rsid w:val="003E2FB8"/>
    <w:rsid w:val="003E7120"/>
    <w:rsid w:val="00427E2A"/>
    <w:rsid w:val="004402DC"/>
    <w:rsid w:val="0045496E"/>
    <w:rsid w:val="004B6C7F"/>
    <w:rsid w:val="004D721E"/>
    <w:rsid w:val="004E5017"/>
    <w:rsid w:val="00550198"/>
    <w:rsid w:val="005667E4"/>
    <w:rsid w:val="0057489F"/>
    <w:rsid w:val="00582CBC"/>
    <w:rsid w:val="00584BD2"/>
    <w:rsid w:val="00584EC4"/>
    <w:rsid w:val="005A0C33"/>
    <w:rsid w:val="005A49F7"/>
    <w:rsid w:val="005D09EE"/>
    <w:rsid w:val="005D5C33"/>
    <w:rsid w:val="005E195F"/>
    <w:rsid w:val="00600759"/>
    <w:rsid w:val="006053DD"/>
    <w:rsid w:val="00605A7B"/>
    <w:rsid w:val="006662D7"/>
    <w:rsid w:val="006D0E3A"/>
    <w:rsid w:val="00705CB8"/>
    <w:rsid w:val="00714118"/>
    <w:rsid w:val="007142AE"/>
    <w:rsid w:val="0071623A"/>
    <w:rsid w:val="00720D3A"/>
    <w:rsid w:val="00726216"/>
    <w:rsid w:val="007464E8"/>
    <w:rsid w:val="007526FE"/>
    <w:rsid w:val="00754BD4"/>
    <w:rsid w:val="007624FC"/>
    <w:rsid w:val="007A254F"/>
    <w:rsid w:val="007A4627"/>
    <w:rsid w:val="007B551B"/>
    <w:rsid w:val="007D1E1B"/>
    <w:rsid w:val="007E0322"/>
    <w:rsid w:val="0080549B"/>
    <w:rsid w:val="0081117A"/>
    <w:rsid w:val="00833D4F"/>
    <w:rsid w:val="0084066C"/>
    <w:rsid w:val="00857B31"/>
    <w:rsid w:val="00867695"/>
    <w:rsid w:val="0089688A"/>
    <w:rsid w:val="008B3796"/>
    <w:rsid w:val="008B41AE"/>
    <w:rsid w:val="008C5C42"/>
    <w:rsid w:val="008D4734"/>
    <w:rsid w:val="008D77A2"/>
    <w:rsid w:val="008F64D6"/>
    <w:rsid w:val="00936408"/>
    <w:rsid w:val="009437D4"/>
    <w:rsid w:val="009A6777"/>
    <w:rsid w:val="00A12632"/>
    <w:rsid w:val="00A329FB"/>
    <w:rsid w:val="00A446DD"/>
    <w:rsid w:val="00A458BE"/>
    <w:rsid w:val="00A50C82"/>
    <w:rsid w:val="00A514EC"/>
    <w:rsid w:val="00A51A29"/>
    <w:rsid w:val="00A63651"/>
    <w:rsid w:val="00A6484B"/>
    <w:rsid w:val="00A76561"/>
    <w:rsid w:val="00A95D2A"/>
    <w:rsid w:val="00AE6FF0"/>
    <w:rsid w:val="00B35B98"/>
    <w:rsid w:val="00B43D04"/>
    <w:rsid w:val="00BA70E9"/>
    <w:rsid w:val="00BB29B5"/>
    <w:rsid w:val="00BE1228"/>
    <w:rsid w:val="00C03BAF"/>
    <w:rsid w:val="00C07913"/>
    <w:rsid w:val="00C355E6"/>
    <w:rsid w:val="00C53F92"/>
    <w:rsid w:val="00C54FD6"/>
    <w:rsid w:val="00CA154F"/>
    <w:rsid w:val="00CA6FAD"/>
    <w:rsid w:val="00CB3941"/>
    <w:rsid w:val="00CB791B"/>
    <w:rsid w:val="00CE15AF"/>
    <w:rsid w:val="00D339B9"/>
    <w:rsid w:val="00D60657"/>
    <w:rsid w:val="00D77A2F"/>
    <w:rsid w:val="00D803AC"/>
    <w:rsid w:val="00D87718"/>
    <w:rsid w:val="00D91B81"/>
    <w:rsid w:val="00D92E54"/>
    <w:rsid w:val="00DA44E2"/>
    <w:rsid w:val="00DB05D1"/>
    <w:rsid w:val="00DD5276"/>
    <w:rsid w:val="00DE0B37"/>
    <w:rsid w:val="00DF1697"/>
    <w:rsid w:val="00E21E9B"/>
    <w:rsid w:val="00E22330"/>
    <w:rsid w:val="00E36C9E"/>
    <w:rsid w:val="00E62368"/>
    <w:rsid w:val="00E660F9"/>
    <w:rsid w:val="00E73445"/>
    <w:rsid w:val="00E82000"/>
    <w:rsid w:val="00E847E1"/>
    <w:rsid w:val="00E87CFB"/>
    <w:rsid w:val="00EA5BD2"/>
    <w:rsid w:val="00EB2FEF"/>
    <w:rsid w:val="00ED7249"/>
    <w:rsid w:val="00EE2FCB"/>
    <w:rsid w:val="00F06410"/>
    <w:rsid w:val="00F127EF"/>
    <w:rsid w:val="00F205CD"/>
    <w:rsid w:val="00F22467"/>
    <w:rsid w:val="00F30A2E"/>
    <w:rsid w:val="00F348CD"/>
    <w:rsid w:val="00F43594"/>
    <w:rsid w:val="00F44031"/>
    <w:rsid w:val="00F539A2"/>
    <w:rsid w:val="00F65124"/>
    <w:rsid w:val="00F71D13"/>
    <w:rsid w:val="00F964D3"/>
    <w:rsid w:val="00FC5675"/>
    <w:rsid w:val="00FE17FD"/>
    <w:rsid w:val="00FE7B55"/>
    <w:rsid w:val="09EFB7A2"/>
    <w:rsid w:val="1DD92EDD"/>
    <w:rsid w:val="34FEDFA7"/>
    <w:rsid w:val="369F593A"/>
    <w:rsid w:val="374C9155"/>
    <w:rsid w:val="383814D8"/>
    <w:rsid w:val="3C53924A"/>
    <w:rsid w:val="41641B85"/>
    <w:rsid w:val="4959E5F3"/>
    <w:rsid w:val="4BE621DD"/>
    <w:rsid w:val="5305EDC2"/>
    <w:rsid w:val="5DA99854"/>
    <w:rsid w:val="663B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36A0D379-0979-4206-B11B-EA849324D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customStyle="1" w:styleId="EdenredDate">
    <w:name w:val="Edenred Date"/>
    <w:basedOn w:val="Encabezado"/>
    <w:pPr>
      <w:jc w:val="right"/>
    </w:pPr>
    <w:rPr>
      <w:sz w:val="20"/>
    </w:rPr>
  </w:style>
  <w:style w:type="paragraph" w:customStyle="1" w:styleId="EdenredTitle">
    <w:name w:val="Edenred Title"/>
    <w:basedOn w:val="Text"/>
    <w:rPr>
      <w:color w:val="162056"/>
      <w:sz w:val="40"/>
      <w:szCs w:val="40"/>
    </w:rPr>
  </w:style>
  <w:style w:type="paragraph" w:customStyle="1" w:styleId="Edenredsubtitle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customStyle="1" w:styleId="Text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customStyle="1" w:styleId="PiedepginaCar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customStyle="1" w:styleId="Page">
    <w:name w:val="Page"/>
    <w:basedOn w:val="Normal"/>
    <w:pPr>
      <w:jc w:val="right"/>
    </w:pPr>
    <w:rPr>
      <w:sz w:val="16"/>
    </w:rPr>
  </w:style>
  <w:style w:type="character" w:customStyle="1" w:styleId="TextCar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customStyle="1" w:styleId="TextonotapieCar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customStyle="1" w:styleId="Ttulo1Car">
    <w:name w:val="Título 1 Car"/>
    <w:rPr>
      <w:rFonts w:ascii="Arial" w:eastAsia="MS Gothic" w:hAnsi="Arial"/>
      <w:b/>
      <w:bCs/>
      <w:color w:val="17153B"/>
      <w:sz w:val="28"/>
      <w:szCs w:val="28"/>
      <w:lang w:val="en-US" w:eastAsia="en-US"/>
    </w:rPr>
  </w:style>
  <w:style w:type="character" w:customStyle="1" w:styleId="Ttulo2Car">
    <w:name w:val="Título 2 Car"/>
    <w:rPr>
      <w:rFonts w:ascii="Arial" w:eastAsia="MS Gothic" w:hAnsi="Arial"/>
      <w:b/>
      <w:bCs/>
      <w:color w:val="201C50"/>
      <w:sz w:val="26"/>
      <w:szCs w:val="26"/>
      <w:lang w:val="en-US" w:eastAsia="en-US"/>
    </w:rPr>
  </w:style>
  <w:style w:type="character" w:customStyle="1" w:styleId="Ttulo3Car">
    <w:name w:val="Título 3 Car"/>
    <w:rPr>
      <w:rFonts w:ascii="Arial" w:eastAsia="MS Gothic" w:hAnsi="Arial"/>
      <w:b/>
      <w:bCs/>
      <w:color w:val="201C50"/>
      <w:szCs w:val="22"/>
      <w:lang w:val="en-US" w:eastAsia="en-US"/>
    </w:rPr>
  </w:style>
  <w:style w:type="paragraph" w:customStyle="1" w:styleId="Title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customStyle="1" w:styleId="Title1Car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customStyle="1" w:styleId="Title2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customStyle="1" w:styleId="Title2Car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customStyle="1" w:styleId="BulletLead-in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customStyle="1" w:styleId="BulletLead-in1Car">
    <w:name w:val="Bullet Lead-in 1 Car"/>
    <w:rPr>
      <w:rFonts w:ascii="Century Gothic" w:hAnsi="Century Gothic" w:cs="Arial"/>
      <w:b/>
      <w:lang w:val="en-US" w:eastAsia="en-US"/>
    </w:rPr>
  </w:style>
  <w:style w:type="paragraph" w:customStyle="1" w:styleId="BulletLead-in2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customStyle="1" w:styleId="BulletLead-in2Car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customStyle="1" w:styleId="TextoindependienteCar">
    <w:name w:val="Texto independiente Car"/>
    <w:rPr>
      <w:rFonts w:ascii="Arial" w:eastAsia="Arial" w:hAnsi="Arial"/>
      <w:color w:val="002060"/>
      <w:szCs w:val="22"/>
      <w:lang w:val="en-US" w:eastAsia="en-US"/>
    </w:rPr>
  </w:style>
  <w:style w:type="character" w:customStyle="1" w:styleId="EncabezadoCar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customStyle="1" w:styleId="TextonotaalfinalCar">
    <w:name w:val="Texto nota al final Car"/>
    <w:rPr>
      <w:rFonts w:ascii="Arial" w:eastAsia="Arial" w:hAnsi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customStyle="1" w:styleId="TextocomentarioCar">
    <w:name w:val="Texto comentario Car"/>
    <w:rPr>
      <w:rFonts w:ascii="Arial" w:eastAsia="Arial" w:hAnsi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Arial" w:eastAsia="Arial" w:hAnsi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customStyle="1" w:styleId="Tablecaptiontext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customStyle="1" w:styleId="Tablecolumntitle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customStyle="1" w:styleId="BoilerPlateChar">
    <w:name w:val="Boiler Plate Char"/>
    <w:rPr>
      <w:rFonts w:ascii="Century Gothic" w:eastAsia="Calibri" w:hAnsi="Century Gothic" w:cs="Calibri"/>
      <w:sz w:val="16"/>
      <w:szCs w:val="14"/>
      <w:lang w:val="en-US" w:eastAsia="en-US"/>
    </w:rPr>
  </w:style>
  <w:style w:type="paragraph" w:customStyle="1" w:styleId="BoilerPlate">
    <w:name w:val="Boiler Plate"/>
    <w:basedOn w:val="Normal"/>
    <w:pPr>
      <w:spacing w:line="254" w:lineRule="auto"/>
      <w:jc w:val="both"/>
    </w:pPr>
    <w:rPr>
      <w:rFonts w:ascii="Century Gothic" w:eastAsia="Calibri" w:hAnsi="Century Gothic" w:cs="Calibri"/>
      <w:color w:val="auto"/>
      <w:sz w:val="16"/>
      <w:szCs w:val="14"/>
      <w:lang w:val="en-US"/>
    </w:rPr>
  </w:style>
  <w:style w:type="paragraph" w:customStyle="1" w:styleId="Pagefooter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customStyle="1" w:styleId="Title3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customStyle="1" w:styleId="Title3Car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customStyle="1" w:styleId="Lead-in">
    <w:name w:val="Lead-in"/>
    <w:basedOn w:val="Text"/>
  </w:style>
  <w:style w:type="character" w:customStyle="1" w:styleId="Lead-inCar">
    <w:name w:val="Lead-in Car"/>
    <w:basedOn w:val="TextCar"/>
    <w:rPr>
      <w:rFonts w:ascii="Century Gothic" w:hAnsi="Century Gothic" w:cs="Arial"/>
      <w:lang w:val="en-US" w:eastAsia="en-US"/>
    </w:rPr>
  </w:style>
  <w:style w:type="paragraph" w:customStyle="1" w:styleId="BoxBullet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BoxBullet2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customStyle="1" w:styleId="PrrafodelistaCar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eastAsia="Century Gothic" w:hAnsi="Calibri" w:cs="Calibri"/>
      <w:color w:val="auto"/>
      <w:sz w:val="22"/>
      <w:szCs w:val="22"/>
      <w:lang w:val="en-US" w:eastAsia="fr-FR"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customStyle="1" w:styleId="LFO10">
    <w:name w:val="LFO10"/>
    <w:basedOn w:val="Sinlista"/>
  </w:style>
  <w:style w:type="numbering" w:customStyle="1" w:styleId="LFO19">
    <w:name w:val="LFO19"/>
    <w:basedOn w:val="Sinlista"/>
  </w:style>
  <w:style w:type="numbering" w:customStyle="1" w:styleId="LFO20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customStyle="1" w:styleId="TableNormal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quipo.edenred@newlink-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jandro.delgadosanchez@edenred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1097</Words>
  <Characters>5885</Characters>
  <Application>Microsoft Office Word</Application>
  <DocSecurity>0</DocSecurity>
  <Lines>178</Lines>
  <Paragraphs>81</Paragraphs>
  <ScaleCrop>false</ScaleCrop>
  <Company/>
  <LinksUpToDate>false</LinksUpToDate>
  <CharactersWithSpaces>6901</CharactersWithSpaces>
  <SharedDoc>false</SharedDoc>
  <HLinks>
    <vt:vector size="12" baseType="variant">
      <vt:variant>
        <vt:i4>983083</vt:i4>
      </vt:variant>
      <vt:variant>
        <vt:i4>3</vt:i4>
      </vt:variant>
      <vt:variant>
        <vt:i4>0</vt:i4>
      </vt:variant>
      <vt:variant>
        <vt:i4>5</vt:i4>
      </vt:variant>
      <vt:variant>
        <vt:lpwstr>mailto:equipo.edenred@newlink-group.com</vt:lpwstr>
      </vt:variant>
      <vt:variant>
        <vt:lpwstr/>
      </vt:variant>
      <vt:variant>
        <vt:i4>196706</vt:i4>
      </vt:variant>
      <vt:variant>
        <vt:i4>0</vt:i4>
      </vt:variant>
      <vt:variant>
        <vt:i4>0</vt:i4>
      </vt:variant>
      <vt:variant>
        <vt:i4>5</vt:i4>
      </vt:variant>
      <vt:variant>
        <vt:lpwstr>mailto:alejandro.delgadosanchez@edenred.com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COURTOIS Cécile</dc:creator>
  <cp:keywords/>
  <cp:lastModifiedBy>Marina Gascón Martínez de Quel</cp:lastModifiedBy>
  <cp:revision>147</cp:revision>
  <dcterms:created xsi:type="dcterms:W3CDTF">2025-06-04T19:13:00Z</dcterms:created>
  <dcterms:modified xsi:type="dcterms:W3CDTF">2025-11-24T18:43:00Z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