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3F1" w14:textId="29FBEBD3" w:rsidR="0034131E" w:rsidRPr="00833D4F" w:rsidRDefault="006E722E">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0CF9CF7E" wp14:editId="4092B481">
            <wp:simplePos x="0" y="0"/>
            <wp:positionH relativeFrom="margin">
              <wp:align>left</wp:align>
            </wp:positionH>
            <wp:positionV relativeFrom="paragraph">
              <wp:posOffset>-213995</wp:posOffset>
            </wp:positionV>
            <wp:extent cx="1047750" cy="638175"/>
            <wp:effectExtent l="0" t="0" r="0" b="952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47750" cy="638175"/>
                    </a:xfrm>
                    <a:prstGeom prst="rect">
                      <a:avLst/>
                    </a:prstGeom>
                    <a:ln/>
                  </pic:spPr>
                </pic:pic>
              </a:graphicData>
            </a:graphic>
            <wp14:sizeRelH relativeFrom="margin">
              <wp14:pctWidth>0</wp14:pctWidth>
            </wp14:sizeRelH>
            <wp14:sizeRelV relativeFrom="margin">
              <wp14:pctHeight>0</wp14:pctHeight>
            </wp14:sizeRelV>
          </wp:anchor>
        </w:drawing>
      </w:r>
      <w:r w:rsidR="00087D4A">
        <w:rPr>
          <w:rFonts w:cs="Century Gothic"/>
          <w:noProof/>
          <w:color w:val="000000" w:themeColor="text1"/>
          <w:sz w:val="44"/>
          <w:szCs w:val="44"/>
        </w:rPr>
        <w:drawing>
          <wp:anchor distT="0" distB="0" distL="114300" distR="114300" simplePos="0" relativeHeight="251659264" behindDoc="0" locked="0" layoutInCell="1" allowOverlap="1" wp14:anchorId="56279F93" wp14:editId="195D7887">
            <wp:simplePos x="0" y="0"/>
            <wp:positionH relativeFrom="column">
              <wp:posOffset>1234440</wp:posOffset>
            </wp:positionH>
            <wp:positionV relativeFrom="paragraph">
              <wp:posOffset>5080</wp:posOffset>
            </wp:positionV>
            <wp:extent cx="1562100" cy="201712"/>
            <wp:effectExtent l="0" t="0" r="0" b="8255"/>
            <wp:wrapNone/>
            <wp:docPr id="142297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201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2721C22F" w14:textId="550C8521" w:rsidR="0034131E" w:rsidRPr="00833D4F" w:rsidRDefault="003132E9" w:rsidP="10C8913A">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themeColor="text1"/>
          <w:sz w:val="22"/>
          <w:szCs w:val="22"/>
          <w:lang w:val="es-ES"/>
        </w:rPr>
        <w:t>3</w:t>
      </w:r>
      <w:r w:rsidR="00026093">
        <w:rPr>
          <w:rFonts w:ascii="Century Gothic" w:eastAsia="Century Gothic" w:hAnsi="Century Gothic" w:cs="Century Gothic"/>
          <w:color w:val="000000" w:themeColor="text1"/>
          <w:sz w:val="22"/>
          <w:szCs w:val="22"/>
          <w:lang w:val="es-ES"/>
        </w:rPr>
        <w:t xml:space="preserve"> </w:t>
      </w:r>
      <w:r w:rsidR="00E660F9" w:rsidRPr="10C8913A">
        <w:rPr>
          <w:rFonts w:ascii="Century Gothic" w:eastAsia="Century Gothic" w:hAnsi="Century Gothic" w:cs="Century Gothic"/>
          <w:color w:val="000000" w:themeColor="text1"/>
          <w:sz w:val="22"/>
          <w:szCs w:val="22"/>
          <w:lang w:val="es-ES"/>
        </w:rPr>
        <w:t xml:space="preserve">de </w:t>
      </w:r>
      <w:r>
        <w:rPr>
          <w:rFonts w:ascii="Century Gothic" w:eastAsia="Century Gothic" w:hAnsi="Century Gothic" w:cs="Century Gothic"/>
          <w:color w:val="000000" w:themeColor="text1"/>
          <w:sz w:val="22"/>
          <w:szCs w:val="22"/>
          <w:lang w:val="es-ES"/>
        </w:rPr>
        <w:t>junio</w:t>
      </w:r>
      <w:r w:rsidR="5CA98C24" w:rsidRPr="10C8913A">
        <w:rPr>
          <w:rFonts w:ascii="Century Gothic" w:eastAsia="Century Gothic" w:hAnsi="Century Gothic" w:cs="Century Gothic"/>
          <w:color w:val="000000" w:themeColor="text1"/>
          <w:sz w:val="22"/>
          <w:szCs w:val="22"/>
          <w:lang w:val="es-ES"/>
        </w:rPr>
        <w:t xml:space="preserve"> </w:t>
      </w:r>
      <w:r w:rsidR="00E660F9" w:rsidRPr="10C8913A">
        <w:rPr>
          <w:rFonts w:ascii="Century Gothic" w:eastAsia="Century Gothic" w:hAnsi="Century Gothic" w:cs="Century Gothic"/>
          <w:color w:val="000000" w:themeColor="text1"/>
          <w:sz w:val="22"/>
          <w:szCs w:val="22"/>
          <w:lang w:val="es-ES"/>
        </w:rPr>
        <w:t>de 202</w:t>
      </w:r>
      <w:r w:rsidR="00316012" w:rsidRPr="10C8913A">
        <w:rPr>
          <w:rFonts w:ascii="Century Gothic" w:eastAsia="Century Gothic" w:hAnsi="Century Gothic" w:cs="Century Gothic"/>
          <w:color w:val="000000" w:themeColor="text1"/>
          <w:sz w:val="22"/>
          <w:szCs w:val="22"/>
          <w:lang w:val="es-ES"/>
        </w:rPr>
        <w:t>6</w:t>
      </w:r>
    </w:p>
    <w:p w14:paraId="5523504D" w14:textId="523A13E6"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5FB23094" w14:textId="7264E375" w:rsidR="005A23DC" w:rsidRDefault="00E00D5F" w:rsidP="000A736E">
      <w:pPr>
        <w:pStyle w:val="BulletLead-in2"/>
        <w:numPr>
          <w:ilvl w:val="0"/>
          <w:numId w:val="0"/>
        </w:numPr>
        <w:jc w:val="center"/>
        <w:rPr>
          <w:rFonts w:cs="Century Gothic"/>
          <w:color w:val="000000" w:themeColor="text1"/>
          <w:sz w:val="44"/>
          <w:szCs w:val="44"/>
          <w:lang w:val="es-ES"/>
        </w:rPr>
      </w:pPr>
      <w:r w:rsidRPr="004B61F9">
        <w:rPr>
          <w:rFonts w:cs="Century Gothic"/>
          <w:color w:val="000000" w:themeColor="text1"/>
          <w:sz w:val="44"/>
          <w:szCs w:val="44"/>
          <w:lang w:val="es-ES"/>
        </w:rPr>
        <w:t>La campaña de la renta evidencia una carencia en las empresas españolas</w:t>
      </w:r>
      <w:r w:rsidR="00292C9D" w:rsidRPr="004B61F9">
        <w:rPr>
          <w:rFonts w:cs="Century Gothic"/>
          <w:color w:val="000000" w:themeColor="text1"/>
          <w:sz w:val="44"/>
          <w:szCs w:val="44"/>
          <w:lang w:val="es-ES"/>
        </w:rPr>
        <w:t xml:space="preserve">: </w:t>
      </w:r>
      <w:r w:rsidR="000A736E" w:rsidRPr="000A736E">
        <w:rPr>
          <w:rFonts w:cs="Century Gothic"/>
          <w:color w:val="000000" w:themeColor="text1"/>
          <w:sz w:val="44"/>
          <w:szCs w:val="44"/>
          <w:lang w:val="es-ES"/>
        </w:rPr>
        <w:t>más del 70 % de</w:t>
      </w:r>
      <w:r w:rsidR="001368E6">
        <w:rPr>
          <w:rFonts w:cs="Century Gothic"/>
          <w:color w:val="000000" w:themeColor="text1"/>
          <w:sz w:val="44"/>
          <w:szCs w:val="44"/>
          <w:lang w:val="es-ES"/>
        </w:rPr>
        <w:t xml:space="preserve"> los profesionales </w:t>
      </w:r>
      <w:r w:rsidR="000A736E" w:rsidRPr="000A736E">
        <w:rPr>
          <w:rFonts w:cs="Century Gothic"/>
          <w:color w:val="000000" w:themeColor="text1"/>
          <w:sz w:val="44"/>
          <w:szCs w:val="44"/>
          <w:lang w:val="es-ES"/>
        </w:rPr>
        <w:t>no recibe</w:t>
      </w:r>
      <w:r w:rsidR="00292C9D">
        <w:rPr>
          <w:rFonts w:cs="Century Gothic"/>
          <w:color w:val="000000" w:themeColor="text1"/>
          <w:sz w:val="44"/>
          <w:szCs w:val="44"/>
          <w:lang w:val="es-ES"/>
        </w:rPr>
        <w:t xml:space="preserve"> </w:t>
      </w:r>
      <w:r w:rsidR="00292C9D" w:rsidRPr="000A736E">
        <w:rPr>
          <w:rFonts w:cs="Century Gothic"/>
          <w:color w:val="000000" w:themeColor="text1"/>
          <w:sz w:val="44"/>
          <w:szCs w:val="44"/>
          <w:lang w:val="es-ES"/>
        </w:rPr>
        <w:t>educación financiera</w:t>
      </w:r>
    </w:p>
    <w:p w14:paraId="37B5B301" w14:textId="77777777" w:rsidR="000A736E" w:rsidRPr="009D71F7" w:rsidRDefault="000A736E" w:rsidP="000B15B7">
      <w:pPr>
        <w:pStyle w:val="BulletLead-in2"/>
        <w:numPr>
          <w:ilvl w:val="0"/>
          <w:numId w:val="0"/>
        </w:numPr>
        <w:jc w:val="both"/>
        <w:rPr>
          <w:b/>
          <w:bCs/>
          <w:lang w:val="es-ES"/>
        </w:rPr>
      </w:pPr>
    </w:p>
    <w:p w14:paraId="7B1A12AB" w14:textId="38A07C5C" w:rsidR="007724F6" w:rsidRPr="009A3083" w:rsidRDefault="005A23DC" w:rsidP="009A3083">
      <w:pPr>
        <w:pStyle w:val="BulletLead-in2"/>
        <w:numPr>
          <w:ilvl w:val="0"/>
          <w:numId w:val="11"/>
        </w:numPr>
        <w:jc w:val="both"/>
        <w:rPr>
          <w:rFonts w:cs="Century Gothic"/>
          <w:b/>
          <w:bCs/>
          <w:lang w:val="es-ES"/>
        </w:rPr>
      </w:pPr>
      <w:r w:rsidRPr="005A23DC">
        <w:rPr>
          <w:rFonts w:cs="Century Gothic"/>
          <w:b/>
          <w:bCs/>
          <w:lang w:val="es-ES"/>
        </w:rPr>
        <w:t>A pesar de ello, más de la mitad de los profesionales</w:t>
      </w:r>
      <w:r w:rsidR="00854563">
        <w:rPr>
          <w:rFonts w:cs="Century Gothic"/>
          <w:b/>
          <w:bCs/>
          <w:lang w:val="es-ES"/>
        </w:rPr>
        <w:t xml:space="preserve"> </w:t>
      </w:r>
      <w:r w:rsidR="00854563" w:rsidRPr="00854563">
        <w:rPr>
          <w:rFonts w:eastAsia="Century Gothic" w:cs="Century Gothic"/>
          <w:b/>
          <w:bCs/>
          <w:lang w:val="es-ES"/>
        </w:rPr>
        <w:t xml:space="preserve">(56,2 %) </w:t>
      </w:r>
      <w:r w:rsidR="009A3083" w:rsidRPr="004B61F9">
        <w:rPr>
          <w:rFonts w:cs="Century Gothic"/>
          <w:b/>
          <w:bCs/>
          <w:lang w:val="es-ES"/>
        </w:rPr>
        <w:t xml:space="preserve">quiere </w:t>
      </w:r>
      <w:r w:rsidR="009A3083" w:rsidRPr="009A3083">
        <w:rPr>
          <w:rFonts w:cs="Century Gothic"/>
          <w:b/>
          <w:bCs/>
          <w:lang w:val="es-ES"/>
        </w:rPr>
        <w:t xml:space="preserve">aprender a optimizar su salario y mejorar su ahorro, motivo por el que Edenred y </w:t>
      </w:r>
      <w:proofErr w:type="spellStart"/>
      <w:r w:rsidR="009A3083" w:rsidRPr="009A3083">
        <w:rPr>
          <w:rFonts w:cs="Century Gothic"/>
          <w:b/>
          <w:bCs/>
          <w:lang w:val="es-ES"/>
        </w:rPr>
        <w:t>TaxDown</w:t>
      </w:r>
      <w:proofErr w:type="spellEnd"/>
      <w:r w:rsidR="009A3083" w:rsidRPr="009A3083">
        <w:rPr>
          <w:rFonts w:cs="Century Gothic"/>
          <w:b/>
          <w:bCs/>
          <w:lang w:val="es-ES"/>
        </w:rPr>
        <w:t xml:space="preserve"> han lanzado una guía práctica</w:t>
      </w:r>
      <w:r w:rsidR="009A3083">
        <w:rPr>
          <w:rFonts w:cs="Century Gothic"/>
          <w:b/>
          <w:bCs/>
          <w:lang w:val="es-ES"/>
        </w:rPr>
        <w:t xml:space="preserve"> para maximizar su poder adquisitivo</w:t>
      </w:r>
      <w:r w:rsidR="009A3083" w:rsidRPr="009A3083">
        <w:rPr>
          <w:rFonts w:cs="Century Gothic"/>
          <w:b/>
          <w:bCs/>
          <w:lang w:val="es-ES"/>
        </w:rPr>
        <w:t xml:space="preserve"> en la recta final de la campaña de la renta</w:t>
      </w:r>
    </w:p>
    <w:p w14:paraId="0F5D0593" w14:textId="77777777" w:rsidR="00920D3A" w:rsidRPr="00920D3A" w:rsidRDefault="00920D3A" w:rsidP="00920D3A">
      <w:pPr>
        <w:pStyle w:val="BulletLead-in2"/>
        <w:numPr>
          <w:ilvl w:val="0"/>
          <w:numId w:val="0"/>
        </w:numPr>
        <w:ind w:left="360"/>
        <w:jc w:val="both"/>
        <w:rPr>
          <w:rFonts w:cs="Century Gothic"/>
          <w:b/>
          <w:bCs/>
          <w:lang w:val="es-ES"/>
        </w:rPr>
      </w:pPr>
    </w:p>
    <w:p w14:paraId="5A2F6AE2" w14:textId="77777777" w:rsidR="00920D3A" w:rsidRPr="00E917A4" w:rsidRDefault="00920D3A" w:rsidP="00920D3A">
      <w:pPr>
        <w:pStyle w:val="BulletLead-in2"/>
        <w:numPr>
          <w:ilvl w:val="0"/>
          <w:numId w:val="11"/>
        </w:numPr>
        <w:jc w:val="both"/>
        <w:rPr>
          <w:rFonts w:eastAsia="Century Gothic" w:cs="Century Gothic"/>
          <w:lang w:val="es-ES"/>
        </w:rPr>
      </w:pPr>
      <w:r w:rsidRPr="00E917A4">
        <w:rPr>
          <w:rFonts w:eastAsia="Century Gothic" w:cs="Century Gothic"/>
          <w:b/>
          <w:bCs/>
          <w:lang w:val="es-ES"/>
        </w:rPr>
        <w:t xml:space="preserve">El talento sénior, el más olvidado en educación financiera: solo un 14,7 % de los Baby </w:t>
      </w:r>
      <w:proofErr w:type="spellStart"/>
      <w:r w:rsidRPr="00E917A4">
        <w:rPr>
          <w:rFonts w:eastAsia="Century Gothic" w:cs="Century Gothic"/>
          <w:b/>
          <w:bCs/>
          <w:lang w:val="es-ES"/>
        </w:rPr>
        <w:t>Boomers</w:t>
      </w:r>
      <w:proofErr w:type="spellEnd"/>
      <w:r w:rsidRPr="00E917A4">
        <w:rPr>
          <w:rFonts w:eastAsia="Century Gothic" w:cs="Century Gothic"/>
          <w:b/>
          <w:bCs/>
          <w:lang w:val="es-ES"/>
        </w:rPr>
        <w:t xml:space="preserve"> recibe formación en su empresa, aunque casi 6 de cada 10 demandan este tipo de iniciativas</w:t>
      </w:r>
      <w:r w:rsidRPr="00E917A4">
        <w:rPr>
          <w:rFonts w:eastAsia="Century Gothic" w:cs="Century Gothic"/>
          <w:lang w:val="es-ES"/>
        </w:rPr>
        <w:t xml:space="preserve"> </w:t>
      </w:r>
    </w:p>
    <w:p w14:paraId="2C064ED7" w14:textId="3280B30A" w:rsidR="00072CD0" w:rsidRPr="00920D3A" w:rsidRDefault="00072CD0" w:rsidP="00920D3A">
      <w:pPr>
        <w:pStyle w:val="BulletLead-in2"/>
        <w:numPr>
          <w:ilvl w:val="0"/>
          <w:numId w:val="0"/>
        </w:numPr>
        <w:ind w:left="360"/>
        <w:jc w:val="both"/>
        <w:rPr>
          <w:rFonts w:cs="Century Gothic"/>
          <w:b/>
          <w:bCs/>
          <w:lang w:val="es-ES"/>
        </w:rPr>
      </w:pPr>
    </w:p>
    <w:p w14:paraId="43C9F492" w14:textId="7C64459D" w:rsidR="00854563" w:rsidRDefault="00405466" w:rsidP="00854563">
      <w:pPr>
        <w:jc w:val="both"/>
        <w:rPr>
          <w:rFonts w:ascii="Century Gothic" w:hAnsi="Century Gothic" w:cs="Century Gothic"/>
          <w:color w:val="auto"/>
          <w:lang w:val="es-ES"/>
        </w:rPr>
      </w:pPr>
      <w:r w:rsidRPr="00405466">
        <w:rPr>
          <w:rFonts w:ascii="Century Gothic" w:hAnsi="Century Gothic" w:cs="Century Gothic"/>
          <w:color w:val="auto"/>
          <w:lang w:val="es-ES"/>
        </w:rPr>
        <w:t xml:space="preserve">Con la campaña de la renta entrando en su recta final y millones de españoles revisando cómo optimizar sus finanzas personales antes del cierre del próximo 30 de junio, la educación financiera se posiciona como una de las grandes asignaturas pendientes dentro de las empresas. </w:t>
      </w:r>
      <w:r w:rsidR="00854563" w:rsidRPr="00854563">
        <w:rPr>
          <w:rFonts w:ascii="Century Gothic" w:hAnsi="Century Gothic" w:cs="Century Gothic"/>
          <w:color w:val="auto"/>
          <w:lang w:val="es-ES"/>
        </w:rPr>
        <w:t xml:space="preserve">Así lo revela el </w:t>
      </w:r>
      <w:r w:rsidR="00854563" w:rsidRPr="00854563">
        <w:rPr>
          <w:rFonts w:ascii="Century Gothic" w:hAnsi="Century Gothic" w:cs="Century Gothic"/>
          <w:b/>
          <w:bCs/>
          <w:color w:val="auto"/>
          <w:lang w:val="es-ES"/>
        </w:rPr>
        <w:t>Estudio sobre Bienestar y Salud Laboral</w:t>
      </w:r>
      <w:r w:rsidR="00854563">
        <w:rPr>
          <w:rFonts w:ascii="Century Gothic" w:hAnsi="Century Gothic" w:cs="Century Gothic"/>
          <w:b/>
          <w:bCs/>
          <w:color w:val="auto"/>
          <w:lang w:val="es-ES"/>
        </w:rPr>
        <w:t xml:space="preserve"> de 2026 </w:t>
      </w:r>
      <w:r w:rsidR="00854563" w:rsidRPr="00854563">
        <w:rPr>
          <w:rFonts w:ascii="Century Gothic" w:hAnsi="Century Gothic" w:cs="Century Gothic"/>
          <w:b/>
          <w:bCs/>
          <w:color w:val="auto"/>
          <w:lang w:val="es-ES"/>
        </w:rPr>
        <w:t>elaborado por Edenred</w:t>
      </w:r>
      <w:r w:rsidR="00854563" w:rsidRPr="00854563">
        <w:rPr>
          <w:rFonts w:ascii="Century Gothic" w:hAnsi="Century Gothic" w:cs="Century Gothic"/>
          <w:color w:val="auto"/>
          <w:lang w:val="es-ES"/>
        </w:rPr>
        <w:t xml:space="preserve">, plataforma digital </w:t>
      </w:r>
      <w:proofErr w:type="spellStart"/>
      <w:r w:rsidR="00854563" w:rsidRPr="00854563">
        <w:rPr>
          <w:rFonts w:ascii="Century Gothic" w:hAnsi="Century Gothic" w:cs="Century Gothic"/>
          <w:color w:val="auto"/>
          <w:lang w:val="es-ES"/>
        </w:rPr>
        <w:t>multisolución</w:t>
      </w:r>
      <w:proofErr w:type="spellEnd"/>
      <w:r w:rsidR="00854563" w:rsidRPr="00854563">
        <w:rPr>
          <w:rFonts w:ascii="Century Gothic" w:hAnsi="Century Gothic" w:cs="Century Gothic"/>
          <w:color w:val="auto"/>
          <w:lang w:val="es-ES"/>
        </w:rPr>
        <w:t xml:space="preserve"> especializada en beneficios sociales y </w:t>
      </w:r>
      <w:proofErr w:type="spellStart"/>
      <w:r w:rsidR="00854563" w:rsidRPr="00854563">
        <w:rPr>
          <w:rFonts w:ascii="Century Gothic" w:hAnsi="Century Gothic" w:cs="Century Gothic"/>
          <w:color w:val="auto"/>
          <w:lang w:val="es-ES"/>
        </w:rPr>
        <w:t>employee</w:t>
      </w:r>
      <w:proofErr w:type="spellEnd"/>
      <w:r w:rsidR="00854563" w:rsidRPr="00854563">
        <w:rPr>
          <w:rFonts w:ascii="Century Gothic" w:hAnsi="Century Gothic" w:cs="Century Gothic"/>
          <w:color w:val="auto"/>
          <w:lang w:val="es-ES"/>
        </w:rPr>
        <w:t xml:space="preserve"> </w:t>
      </w:r>
      <w:proofErr w:type="spellStart"/>
      <w:r w:rsidR="00854563" w:rsidRPr="00854563">
        <w:rPr>
          <w:rFonts w:ascii="Century Gothic" w:hAnsi="Century Gothic" w:cs="Century Gothic"/>
          <w:color w:val="auto"/>
          <w:lang w:val="es-ES"/>
        </w:rPr>
        <w:t>engagement</w:t>
      </w:r>
      <w:proofErr w:type="spellEnd"/>
      <w:r w:rsidR="00854563" w:rsidRPr="00854563">
        <w:rPr>
          <w:rFonts w:ascii="Century Gothic" w:hAnsi="Century Gothic" w:cs="Century Gothic"/>
          <w:color w:val="auto"/>
          <w:lang w:val="es-ES"/>
        </w:rPr>
        <w:t xml:space="preserve">, que pone de manifiesto que </w:t>
      </w:r>
      <w:r w:rsidR="00854563" w:rsidRPr="00854563">
        <w:rPr>
          <w:rFonts w:ascii="Century Gothic" w:hAnsi="Century Gothic" w:cs="Century Gothic"/>
          <w:b/>
          <w:bCs/>
          <w:color w:val="auto"/>
          <w:lang w:val="es-ES"/>
        </w:rPr>
        <w:t>solo el 29,5 % de los profesionales recibe algún tipo de formación o información financiera por parte de su empresa</w:t>
      </w:r>
      <w:r w:rsidR="00854563" w:rsidRPr="00854563">
        <w:rPr>
          <w:rFonts w:ascii="Century Gothic" w:hAnsi="Century Gothic" w:cs="Century Gothic"/>
          <w:color w:val="auto"/>
          <w:lang w:val="es-ES"/>
        </w:rPr>
        <w:t xml:space="preserve">, frente a </w:t>
      </w:r>
      <w:r w:rsidR="00854563" w:rsidRPr="00854563">
        <w:rPr>
          <w:rFonts w:ascii="Century Gothic" w:hAnsi="Century Gothic" w:cs="Century Gothic"/>
          <w:b/>
          <w:bCs/>
          <w:color w:val="auto"/>
          <w:lang w:val="es-ES"/>
        </w:rPr>
        <w:t>un 70,5 % que no cuenta con ningún tipo de apoyo</w:t>
      </w:r>
      <w:r w:rsidR="00854563" w:rsidRPr="00854563">
        <w:rPr>
          <w:rFonts w:ascii="Century Gothic" w:hAnsi="Century Gothic" w:cs="Century Gothic"/>
          <w:color w:val="auto"/>
          <w:lang w:val="es-ES"/>
        </w:rPr>
        <w:t xml:space="preserve"> en esta materia.</w:t>
      </w:r>
    </w:p>
    <w:p w14:paraId="7EA86C59" w14:textId="77777777" w:rsidR="00D61362" w:rsidRPr="00854563" w:rsidRDefault="00D61362" w:rsidP="00854563">
      <w:pPr>
        <w:jc w:val="both"/>
        <w:rPr>
          <w:rFonts w:ascii="Century Gothic" w:hAnsi="Century Gothic" w:cs="Century Gothic"/>
          <w:color w:val="auto"/>
          <w:lang w:val="es-ES"/>
        </w:rPr>
      </w:pPr>
    </w:p>
    <w:p w14:paraId="35B84D32" w14:textId="77777777" w:rsidR="00854563" w:rsidRDefault="00854563" w:rsidP="00854563">
      <w:pPr>
        <w:jc w:val="both"/>
        <w:rPr>
          <w:rFonts w:ascii="Century Gothic" w:eastAsia="Century Gothic" w:hAnsi="Century Gothic" w:cs="Century Gothic"/>
          <w:color w:val="auto"/>
          <w:lang w:val="es-ES"/>
        </w:rPr>
      </w:pPr>
      <w:r w:rsidRPr="00854563">
        <w:rPr>
          <w:rFonts w:ascii="Century Gothic" w:eastAsia="Century Gothic" w:hAnsi="Century Gothic" w:cs="Century Gothic"/>
          <w:color w:val="auto"/>
          <w:lang w:val="es-ES"/>
        </w:rPr>
        <w:t xml:space="preserve">Sin embargo, el interés por mejorar los conocimientos financieros es claro: </w:t>
      </w:r>
      <w:r w:rsidRPr="00854563">
        <w:rPr>
          <w:rFonts w:ascii="Century Gothic" w:eastAsia="Century Gothic" w:hAnsi="Century Gothic" w:cs="Century Gothic"/>
          <w:b/>
          <w:bCs/>
          <w:color w:val="auto"/>
          <w:lang w:val="es-ES"/>
        </w:rPr>
        <w:t>más de la mitad del talento en España (56,2 %) asegura que le gustaría que su empresa ofreciera este tipo de formación</w:t>
      </w:r>
      <w:r w:rsidRPr="00854563">
        <w:rPr>
          <w:rFonts w:ascii="Century Gothic" w:eastAsia="Century Gothic" w:hAnsi="Century Gothic" w:cs="Century Gothic"/>
          <w:color w:val="auto"/>
          <w:lang w:val="es-ES"/>
        </w:rPr>
        <w:t xml:space="preserve"> para aprender a gestionar mejor su economía personal, optimizar su salario y mejorar su capacidad de ahorro.</w:t>
      </w:r>
    </w:p>
    <w:p w14:paraId="1B6D8EA7" w14:textId="77777777" w:rsidR="00854563" w:rsidRPr="00854563" w:rsidRDefault="00854563" w:rsidP="00854563">
      <w:pPr>
        <w:jc w:val="both"/>
        <w:rPr>
          <w:rFonts w:ascii="Century Gothic" w:eastAsia="Century Gothic" w:hAnsi="Century Gothic" w:cs="Century Gothic"/>
          <w:color w:val="auto"/>
          <w:lang w:val="es-ES"/>
        </w:rPr>
      </w:pPr>
    </w:p>
    <w:p w14:paraId="3CB242F5" w14:textId="77777777" w:rsidR="003C436C" w:rsidRPr="003C436C" w:rsidRDefault="003C436C" w:rsidP="003C436C">
      <w:pPr>
        <w:jc w:val="both"/>
        <w:rPr>
          <w:rFonts w:ascii="Century Gothic" w:eastAsia="Century Gothic" w:hAnsi="Century Gothic" w:cs="Century Gothic"/>
          <w:color w:val="auto"/>
          <w:lang w:val="es-ES"/>
        </w:rPr>
      </w:pPr>
      <w:r w:rsidRPr="003C436C">
        <w:rPr>
          <w:rFonts w:ascii="Century Gothic" w:eastAsia="Century Gothic" w:hAnsi="Century Gothic" w:cs="Century Gothic"/>
          <w:color w:val="auto"/>
          <w:lang w:val="es-ES"/>
        </w:rPr>
        <w:t>En un contexto marcado por la inflación, la pérdida de poder adquisitivo y el aumento del coste de vida, los datos reflejan una creciente preocupación de los profesionales por comprender mejor conceptos relacionados con fiscalidad, ahorro o retribución flexible.</w:t>
      </w:r>
    </w:p>
    <w:p w14:paraId="25B5E062" w14:textId="27988A57" w:rsidR="00801E8F" w:rsidRDefault="00801E8F" w:rsidP="00854563">
      <w:pPr>
        <w:jc w:val="both"/>
        <w:rPr>
          <w:rFonts w:ascii="Century Gothic" w:eastAsia="Century Gothic" w:hAnsi="Century Gothic" w:cs="Century Gothic"/>
          <w:b/>
          <w:bCs/>
          <w:color w:val="auto"/>
          <w:lang w:val="es-ES"/>
        </w:rPr>
      </w:pPr>
    </w:p>
    <w:p w14:paraId="2B971E5C" w14:textId="77777777" w:rsidR="00854563" w:rsidRPr="00854563" w:rsidRDefault="00854563" w:rsidP="00854563">
      <w:pPr>
        <w:jc w:val="both"/>
        <w:rPr>
          <w:rFonts w:ascii="Century Gothic" w:eastAsia="Century Gothic" w:hAnsi="Century Gothic" w:cs="Century Gothic"/>
          <w:b/>
          <w:bCs/>
          <w:color w:val="auto"/>
          <w:lang w:val="es-ES"/>
        </w:rPr>
      </w:pPr>
      <w:r w:rsidRPr="00854563">
        <w:rPr>
          <w:rFonts w:ascii="Century Gothic" w:eastAsia="Century Gothic" w:hAnsi="Century Gothic" w:cs="Century Gothic"/>
          <w:b/>
          <w:bCs/>
          <w:color w:val="auto"/>
          <w:lang w:val="es-ES"/>
        </w:rPr>
        <w:t>Los profesionales sénior, los que menos formación reciben</w:t>
      </w:r>
    </w:p>
    <w:p w14:paraId="7016F9E5" w14:textId="77777777" w:rsidR="00E732C3" w:rsidRDefault="00E732C3" w:rsidP="00A73751">
      <w:pPr>
        <w:jc w:val="both"/>
        <w:rPr>
          <w:rFonts w:ascii="Century Gothic" w:eastAsia="Century Gothic" w:hAnsi="Century Gothic" w:cs="Century Gothic"/>
          <w:color w:val="auto"/>
          <w:lang w:val="es-ES"/>
        </w:rPr>
      </w:pPr>
    </w:p>
    <w:p w14:paraId="1D9936EC" w14:textId="3B61317B" w:rsidR="00854563" w:rsidRDefault="00854563" w:rsidP="00854563">
      <w:pPr>
        <w:jc w:val="both"/>
        <w:rPr>
          <w:rFonts w:ascii="Century Gothic" w:eastAsia="Century Gothic" w:hAnsi="Century Gothic" w:cs="Century Gothic"/>
          <w:color w:val="auto"/>
          <w:lang w:val="es-ES"/>
        </w:rPr>
      </w:pPr>
      <w:r w:rsidRPr="00854563">
        <w:rPr>
          <w:rFonts w:ascii="Century Gothic" w:eastAsia="Century Gothic" w:hAnsi="Century Gothic" w:cs="Century Gothic"/>
          <w:color w:val="auto"/>
          <w:lang w:val="es-ES"/>
        </w:rPr>
        <w:t xml:space="preserve">La </w:t>
      </w:r>
      <w:r w:rsidRPr="00854563">
        <w:rPr>
          <w:rFonts w:ascii="Century Gothic" w:eastAsia="Century Gothic" w:hAnsi="Century Gothic" w:cs="Century Gothic"/>
          <w:b/>
          <w:bCs/>
          <w:color w:val="auto"/>
          <w:lang w:val="es-ES"/>
        </w:rPr>
        <w:t>Generación Z</w:t>
      </w:r>
      <w:r w:rsidRPr="00854563">
        <w:rPr>
          <w:rFonts w:ascii="Century Gothic" w:eastAsia="Century Gothic" w:hAnsi="Century Gothic" w:cs="Century Gothic"/>
          <w:color w:val="auto"/>
          <w:lang w:val="es-ES"/>
        </w:rPr>
        <w:t xml:space="preserve"> (20-29 años) </w:t>
      </w:r>
      <w:r w:rsidRPr="00854563">
        <w:rPr>
          <w:rFonts w:ascii="Century Gothic" w:eastAsia="Century Gothic" w:hAnsi="Century Gothic" w:cs="Century Gothic"/>
          <w:b/>
          <w:bCs/>
          <w:color w:val="auto"/>
          <w:lang w:val="es-ES"/>
        </w:rPr>
        <w:t>es el colectivo que más acceso tiene actualmente a formación financiera</w:t>
      </w:r>
      <w:r w:rsidRPr="00854563">
        <w:rPr>
          <w:rFonts w:ascii="Century Gothic" w:eastAsia="Century Gothic" w:hAnsi="Century Gothic" w:cs="Century Gothic"/>
          <w:color w:val="auto"/>
          <w:lang w:val="es-ES"/>
        </w:rPr>
        <w:t xml:space="preserve"> dentro de las empresas, </w:t>
      </w:r>
      <w:r w:rsidRPr="00854563">
        <w:rPr>
          <w:rFonts w:ascii="Century Gothic" w:eastAsia="Century Gothic" w:hAnsi="Century Gothic" w:cs="Century Gothic"/>
          <w:b/>
          <w:bCs/>
          <w:color w:val="auto"/>
          <w:lang w:val="es-ES"/>
        </w:rPr>
        <w:t>aunque todavía insuficiente:</w:t>
      </w:r>
      <w:r w:rsidRPr="00854563">
        <w:rPr>
          <w:rFonts w:ascii="Century Gothic" w:eastAsia="Century Gothic" w:hAnsi="Century Gothic" w:cs="Century Gothic"/>
          <w:color w:val="auto"/>
          <w:lang w:val="es-ES"/>
        </w:rPr>
        <w:t xml:space="preserve"> </w:t>
      </w:r>
      <w:r w:rsidRPr="00854563">
        <w:rPr>
          <w:rFonts w:ascii="Century Gothic" w:eastAsia="Century Gothic" w:hAnsi="Century Gothic" w:cs="Century Gothic"/>
          <w:b/>
          <w:bCs/>
          <w:color w:val="auto"/>
          <w:lang w:val="es-ES"/>
        </w:rPr>
        <w:t>solo el 36,5 % afirma recibirla</w:t>
      </w:r>
      <w:r w:rsidRPr="00854563">
        <w:rPr>
          <w:rFonts w:ascii="Century Gothic" w:eastAsia="Century Gothic" w:hAnsi="Century Gothic" w:cs="Century Gothic"/>
          <w:color w:val="auto"/>
          <w:lang w:val="es-ES"/>
        </w:rPr>
        <w:t xml:space="preserve">. En paralelo, </w:t>
      </w:r>
      <w:r w:rsidRPr="00854563">
        <w:rPr>
          <w:rFonts w:ascii="Century Gothic" w:eastAsia="Century Gothic" w:hAnsi="Century Gothic" w:cs="Century Gothic"/>
          <w:b/>
          <w:bCs/>
          <w:color w:val="auto"/>
          <w:lang w:val="es-ES"/>
        </w:rPr>
        <w:t>casi la mitad (48,4 %) reconoce que le gustaría contar con más información y herramientas</w:t>
      </w:r>
      <w:r w:rsidRPr="00854563">
        <w:rPr>
          <w:rFonts w:ascii="Century Gothic" w:eastAsia="Century Gothic" w:hAnsi="Century Gothic" w:cs="Century Gothic"/>
          <w:color w:val="auto"/>
          <w:lang w:val="es-ES"/>
        </w:rPr>
        <w:t xml:space="preserve"> para gestionar mejor sus finanzas.</w:t>
      </w:r>
    </w:p>
    <w:p w14:paraId="096381DF" w14:textId="77777777" w:rsidR="00854563" w:rsidRPr="00854563" w:rsidRDefault="00854563" w:rsidP="00854563">
      <w:pPr>
        <w:jc w:val="both"/>
        <w:rPr>
          <w:rFonts w:ascii="Century Gothic" w:eastAsia="Century Gothic" w:hAnsi="Century Gothic" w:cs="Century Gothic"/>
          <w:color w:val="auto"/>
          <w:lang w:val="es-ES"/>
        </w:rPr>
      </w:pPr>
    </w:p>
    <w:p w14:paraId="19DCB97A" w14:textId="77777777" w:rsidR="00854563" w:rsidRDefault="00854563" w:rsidP="00854563">
      <w:pPr>
        <w:jc w:val="both"/>
        <w:rPr>
          <w:rFonts w:ascii="Century Gothic" w:eastAsia="Century Gothic" w:hAnsi="Century Gothic" w:cs="Century Gothic"/>
          <w:color w:val="auto"/>
          <w:lang w:val="es-ES"/>
        </w:rPr>
      </w:pPr>
      <w:r w:rsidRPr="00854563">
        <w:rPr>
          <w:rFonts w:ascii="Century Gothic" w:eastAsia="Century Gothic" w:hAnsi="Century Gothic" w:cs="Century Gothic"/>
          <w:color w:val="auto"/>
          <w:lang w:val="es-ES"/>
        </w:rPr>
        <w:t xml:space="preserve">La situación empeora progresivamente con la edad. Entre los </w:t>
      </w:r>
      <w:proofErr w:type="spellStart"/>
      <w:r w:rsidRPr="00854563">
        <w:rPr>
          <w:rFonts w:ascii="Century Gothic" w:eastAsia="Century Gothic" w:hAnsi="Century Gothic" w:cs="Century Gothic"/>
          <w:b/>
          <w:bCs/>
          <w:color w:val="auto"/>
          <w:lang w:val="es-ES"/>
        </w:rPr>
        <w:t>Millennials</w:t>
      </w:r>
      <w:proofErr w:type="spellEnd"/>
      <w:r w:rsidRPr="00854563">
        <w:rPr>
          <w:rFonts w:ascii="Century Gothic" w:eastAsia="Century Gothic" w:hAnsi="Century Gothic" w:cs="Century Gothic"/>
          <w:b/>
          <w:bCs/>
          <w:color w:val="auto"/>
          <w:lang w:val="es-ES"/>
        </w:rPr>
        <w:t xml:space="preserve"> (30-45 años), únicamente el 33,9 % recibe formación financiera</w:t>
      </w:r>
      <w:r w:rsidRPr="00854563">
        <w:rPr>
          <w:rFonts w:ascii="Century Gothic" w:eastAsia="Century Gothic" w:hAnsi="Century Gothic" w:cs="Century Gothic"/>
          <w:color w:val="auto"/>
          <w:lang w:val="es-ES"/>
        </w:rPr>
        <w:t xml:space="preserve">, mientras que el interés por acceder a ella alcanza el 55,9 %. En la </w:t>
      </w:r>
      <w:r w:rsidRPr="00854563">
        <w:rPr>
          <w:rFonts w:ascii="Century Gothic" w:eastAsia="Century Gothic" w:hAnsi="Century Gothic" w:cs="Century Gothic"/>
          <w:b/>
          <w:bCs/>
          <w:color w:val="auto"/>
          <w:lang w:val="es-ES"/>
        </w:rPr>
        <w:t xml:space="preserve">Generación X (46-61 años), apenas el 23,9 % afirma tener </w:t>
      </w:r>
      <w:r w:rsidRPr="00854563">
        <w:rPr>
          <w:rFonts w:ascii="Century Gothic" w:eastAsia="Century Gothic" w:hAnsi="Century Gothic" w:cs="Century Gothic"/>
          <w:b/>
          <w:bCs/>
          <w:color w:val="auto"/>
          <w:lang w:val="es-ES"/>
        </w:rPr>
        <w:lastRenderedPageBreak/>
        <w:t xml:space="preserve">acceso </w:t>
      </w:r>
      <w:r w:rsidRPr="00854563">
        <w:rPr>
          <w:rFonts w:ascii="Century Gothic" w:eastAsia="Century Gothic" w:hAnsi="Century Gothic" w:cs="Century Gothic"/>
          <w:color w:val="auto"/>
          <w:lang w:val="es-ES"/>
        </w:rPr>
        <w:t>a este tipo de contenidos y un 59 % demanda más apoyo por parte de las empresas.</w:t>
      </w:r>
    </w:p>
    <w:p w14:paraId="6A273FC2" w14:textId="77777777" w:rsidR="00854563" w:rsidRPr="00854563" w:rsidRDefault="00854563" w:rsidP="00854563">
      <w:pPr>
        <w:jc w:val="both"/>
        <w:rPr>
          <w:rFonts w:ascii="Century Gothic" w:eastAsia="Century Gothic" w:hAnsi="Century Gothic" w:cs="Century Gothic"/>
          <w:color w:val="auto"/>
          <w:lang w:val="es-ES"/>
        </w:rPr>
      </w:pPr>
    </w:p>
    <w:p w14:paraId="43C44A92" w14:textId="77777777" w:rsidR="00854563" w:rsidRPr="00854563" w:rsidRDefault="00854563" w:rsidP="00854563">
      <w:pPr>
        <w:jc w:val="both"/>
        <w:rPr>
          <w:rFonts w:ascii="Century Gothic" w:eastAsia="Century Gothic" w:hAnsi="Century Gothic" w:cs="Century Gothic"/>
          <w:b/>
          <w:bCs/>
          <w:color w:val="auto"/>
          <w:lang w:val="es-ES"/>
        </w:rPr>
      </w:pPr>
      <w:r w:rsidRPr="00854563">
        <w:rPr>
          <w:rFonts w:ascii="Century Gothic" w:eastAsia="Century Gothic" w:hAnsi="Century Gothic" w:cs="Century Gothic"/>
          <w:color w:val="auto"/>
          <w:lang w:val="es-ES"/>
        </w:rPr>
        <w:t xml:space="preserve">Los </w:t>
      </w:r>
      <w:r w:rsidRPr="00854563">
        <w:rPr>
          <w:rFonts w:ascii="Century Gothic" w:eastAsia="Century Gothic" w:hAnsi="Century Gothic" w:cs="Century Gothic"/>
          <w:b/>
          <w:bCs/>
          <w:color w:val="auto"/>
          <w:lang w:val="es-ES"/>
        </w:rPr>
        <w:t xml:space="preserve">Baby </w:t>
      </w:r>
      <w:proofErr w:type="spellStart"/>
      <w:r w:rsidRPr="00854563">
        <w:rPr>
          <w:rFonts w:ascii="Century Gothic" w:eastAsia="Century Gothic" w:hAnsi="Century Gothic" w:cs="Century Gothic"/>
          <w:b/>
          <w:bCs/>
          <w:color w:val="auto"/>
          <w:lang w:val="es-ES"/>
        </w:rPr>
        <w:t>Boomers</w:t>
      </w:r>
      <w:proofErr w:type="spellEnd"/>
      <w:r w:rsidRPr="00854563">
        <w:rPr>
          <w:rFonts w:ascii="Century Gothic" w:eastAsia="Century Gothic" w:hAnsi="Century Gothic" w:cs="Century Gothic"/>
          <w:b/>
          <w:bCs/>
          <w:color w:val="auto"/>
          <w:lang w:val="es-ES"/>
        </w:rPr>
        <w:t xml:space="preserve"> (62-65 años) son el colectivo más desatendido: solo un 14,7 % recibe educación financiera</w:t>
      </w:r>
      <w:r w:rsidRPr="00854563">
        <w:rPr>
          <w:rFonts w:ascii="Century Gothic" w:eastAsia="Century Gothic" w:hAnsi="Century Gothic" w:cs="Century Gothic"/>
          <w:color w:val="auto"/>
          <w:lang w:val="es-ES"/>
        </w:rPr>
        <w:t xml:space="preserve"> en su entorno laboral, mientras que </w:t>
      </w:r>
      <w:r w:rsidRPr="00854563">
        <w:rPr>
          <w:rFonts w:ascii="Century Gothic" w:eastAsia="Century Gothic" w:hAnsi="Century Gothic" w:cs="Century Gothic"/>
          <w:b/>
          <w:bCs/>
          <w:color w:val="auto"/>
          <w:lang w:val="es-ES"/>
        </w:rPr>
        <w:t>un 58,4 % afirma que le gustaría contar con este tipo de iniciativas.</w:t>
      </w:r>
    </w:p>
    <w:p w14:paraId="5C91AA88" w14:textId="77777777" w:rsidR="00E76359" w:rsidRDefault="00E76359" w:rsidP="00E76359">
      <w:pPr>
        <w:jc w:val="both"/>
        <w:rPr>
          <w:rFonts w:ascii="Century Gothic" w:eastAsia="Century Gothic" w:hAnsi="Century Gothic" w:cs="Century Gothic"/>
          <w:color w:val="auto"/>
          <w:lang w:val="es-ES"/>
        </w:rPr>
      </w:pPr>
    </w:p>
    <w:p w14:paraId="7752F4CC" w14:textId="77777777" w:rsidR="00854563" w:rsidRPr="00854563" w:rsidRDefault="00854563" w:rsidP="00854563">
      <w:pPr>
        <w:jc w:val="both"/>
        <w:rPr>
          <w:rFonts w:ascii="Century Gothic" w:eastAsia="Century Gothic" w:hAnsi="Century Gothic" w:cs="Century Gothic"/>
          <w:b/>
          <w:bCs/>
          <w:color w:val="auto"/>
          <w:lang w:val="es-ES"/>
        </w:rPr>
      </w:pPr>
      <w:r w:rsidRPr="00854563">
        <w:rPr>
          <w:rFonts w:ascii="Century Gothic" w:eastAsia="Century Gothic" w:hAnsi="Century Gothic" w:cs="Century Gothic"/>
          <w:b/>
          <w:bCs/>
          <w:color w:val="auto"/>
          <w:lang w:val="es-ES"/>
        </w:rPr>
        <w:t>Andalucía, Madrid y Cataluña lideran la oferta de educación financiera</w:t>
      </w:r>
    </w:p>
    <w:p w14:paraId="16E4B39E" w14:textId="77777777" w:rsidR="003C379A" w:rsidRPr="00DB1135" w:rsidRDefault="003C379A" w:rsidP="00E76359">
      <w:pPr>
        <w:jc w:val="both"/>
        <w:rPr>
          <w:rFonts w:ascii="Century Gothic" w:eastAsia="Century Gothic" w:hAnsi="Century Gothic" w:cs="Century Gothic"/>
          <w:b/>
          <w:bCs/>
          <w:color w:val="auto"/>
          <w:lang w:val="es-ES"/>
        </w:rPr>
      </w:pPr>
    </w:p>
    <w:p w14:paraId="0A214CE9" w14:textId="6AF57FCB" w:rsidR="00B75D51" w:rsidRPr="00B75D51" w:rsidRDefault="00B75D51" w:rsidP="00B75D51">
      <w:pPr>
        <w:jc w:val="both"/>
        <w:rPr>
          <w:rFonts w:ascii="Century Gothic" w:eastAsia="Century Gothic" w:hAnsi="Century Gothic" w:cs="Century Gothic"/>
          <w:b/>
          <w:bCs/>
          <w:color w:val="auto"/>
          <w:lang w:val="es-ES"/>
        </w:rPr>
      </w:pPr>
      <w:r w:rsidRPr="00B75D51">
        <w:rPr>
          <w:rFonts w:ascii="Century Gothic" w:eastAsia="Century Gothic" w:hAnsi="Century Gothic" w:cs="Century Gothic"/>
          <w:color w:val="auto"/>
          <w:lang w:val="es-ES"/>
        </w:rPr>
        <w:t>Por comunidades autónomas,</w:t>
      </w:r>
      <w:r w:rsidR="00624A0C">
        <w:rPr>
          <w:rFonts w:ascii="Century Gothic" w:eastAsia="Century Gothic" w:hAnsi="Century Gothic" w:cs="Century Gothic"/>
          <w:color w:val="auto"/>
          <w:lang w:val="es-ES"/>
        </w:rPr>
        <w:t xml:space="preserve"> </w:t>
      </w:r>
      <w:r w:rsidR="00624A0C" w:rsidRPr="00B75D51">
        <w:rPr>
          <w:rFonts w:ascii="Century Gothic" w:eastAsia="Century Gothic" w:hAnsi="Century Gothic" w:cs="Century Gothic"/>
          <w:b/>
          <w:bCs/>
          <w:color w:val="auto"/>
          <w:lang w:val="es-ES"/>
        </w:rPr>
        <w:t>Madrid (35,5 %)</w:t>
      </w:r>
      <w:r w:rsidR="00624A0C">
        <w:rPr>
          <w:rFonts w:ascii="Century Gothic" w:eastAsia="Century Gothic" w:hAnsi="Century Gothic" w:cs="Century Gothic"/>
          <w:b/>
          <w:bCs/>
          <w:color w:val="auto"/>
          <w:lang w:val="es-ES"/>
        </w:rPr>
        <w:t>,</w:t>
      </w:r>
      <w:r w:rsidRPr="00B75D51">
        <w:rPr>
          <w:rFonts w:ascii="Century Gothic" w:eastAsia="Century Gothic" w:hAnsi="Century Gothic" w:cs="Century Gothic"/>
          <w:color w:val="auto"/>
          <w:lang w:val="es-ES"/>
        </w:rPr>
        <w:t xml:space="preserve"> </w:t>
      </w:r>
      <w:r w:rsidRPr="00B75D51">
        <w:rPr>
          <w:rFonts w:ascii="Century Gothic" w:eastAsia="Century Gothic" w:hAnsi="Century Gothic" w:cs="Century Gothic"/>
          <w:b/>
          <w:bCs/>
          <w:color w:val="auto"/>
          <w:lang w:val="es-ES"/>
        </w:rPr>
        <w:t>Andalucía (35,3 %)</w:t>
      </w:r>
      <w:r w:rsidR="00624A0C">
        <w:rPr>
          <w:rFonts w:ascii="Century Gothic" w:eastAsia="Century Gothic" w:hAnsi="Century Gothic" w:cs="Century Gothic"/>
          <w:b/>
          <w:bCs/>
          <w:color w:val="auto"/>
          <w:lang w:val="es-ES"/>
        </w:rPr>
        <w:t xml:space="preserve"> </w:t>
      </w:r>
      <w:r w:rsidRPr="00B75D51">
        <w:rPr>
          <w:rFonts w:ascii="Century Gothic" w:eastAsia="Century Gothic" w:hAnsi="Century Gothic" w:cs="Century Gothic"/>
          <w:b/>
          <w:bCs/>
          <w:color w:val="auto"/>
          <w:lang w:val="es-ES"/>
        </w:rPr>
        <w:t>y Cataluña (33,6 %) son las regiones donde más empresas ofrecen algún tipo de formación o información sobre educación financiera.</w:t>
      </w:r>
    </w:p>
    <w:p w14:paraId="7335FF77" w14:textId="77777777" w:rsidR="00E642FB" w:rsidRDefault="00E642FB" w:rsidP="00B75D51">
      <w:pPr>
        <w:jc w:val="both"/>
        <w:rPr>
          <w:rFonts w:ascii="Century Gothic" w:eastAsia="Century Gothic" w:hAnsi="Century Gothic" w:cs="Century Gothic"/>
          <w:color w:val="auto"/>
          <w:lang w:val="es-ES"/>
        </w:rPr>
      </w:pPr>
    </w:p>
    <w:p w14:paraId="3A902F08" w14:textId="14AD9810" w:rsidR="00B75D51" w:rsidRPr="00B75D51" w:rsidRDefault="00B75D51" w:rsidP="00E642FB">
      <w:pPr>
        <w:jc w:val="both"/>
        <w:rPr>
          <w:rFonts w:ascii="Century Gothic" w:eastAsia="Century Gothic" w:hAnsi="Century Gothic" w:cs="Century Gothic"/>
          <w:color w:val="auto"/>
          <w:lang w:val="es-ES"/>
        </w:rPr>
      </w:pPr>
      <w:r w:rsidRPr="00B75D51">
        <w:rPr>
          <w:rFonts w:ascii="Century Gothic" w:eastAsia="Century Gothic" w:hAnsi="Century Gothic" w:cs="Century Gothic"/>
          <w:b/>
          <w:bCs/>
          <w:color w:val="auto"/>
          <w:lang w:val="es-ES"/>
        </w:rPr>
        <w:t>Galicia también refleja una importante brecha: solo un 22,2 % recibe formación financiera</w:t>
      </w:r>
      <w:r w:rsidRPr="00B75D51">
        <w:rPr>
          <w:rFonts w:ascii="Century Gothic" w:eastAsia="Century Gothic" w:hAnsi="Century Gothic" w:cs="Century Gothic"/>
          <w:color w:val="auto"/>
          <w:lang w:val="es-ES"/>
        </w:rPr>
        <w:t xml:space="preserve">, aunque </w:t>
      </w:r>
      <w:r w:rsidRPr="00B75D51">
        <w:rPr>
          <w:rFonts w:ascii="Century Gothic" w:eastAsia="Century Gothic" w:hAnsi="Century Gothic" w:cs="Century Gothic"/>
          <w:b/>
          <w:bCs/>
          <w:color w:val="auto"/>
          <w:lang w:val="es-ES"/>
        </w:rPr>
        <w:t>es una de las regiones donde más interés existe por acceder a ella (65,7 %)</w:t>
      </w:r>
      <w:r w:rsidR="00E642FB">
        <w:rPr>
          <w:rFonts w:ascii="Century Gothic" w:eastAsia="Century Gothic" w:hAnsi="Century Gothic" w:cs="Century Gothic"/>
          <w:b/>
          <w:bCs/>
          <w:color w:val="auto"/>
          <w:lang w:val="es-ES"/>
        </w:rPr>
        <w:t xml:space="preserve">. </w:t>
      </w:r>
      <w:r w:rsidR="00E642FB">
        <w:rPr>
          <w:rFonts w:ascii="Century Gothic" w:eastAsia="Century Gothic" w:hAnsi="Century Gothic" w:cs="Century Gothic"/>
          <w:color w:val="auto"/>
          <w:lang w:val="es-ES"/>
        </w:rPr>
        <w:t>Y e</w:t>
      </w:r>
      <w:r w:rsidR="00E642FB" w:rsidRPr="00B75D51">
        <w:rPr>
          <w:rFonts w:ascii="Century Gothic" w:eastAsia="Century Gothic" w:hAnsi="Century Gothic" w:cs="Century Gothic"/>
          <w:color w:val="auto"/>
          <w:lang w:val="es-ES"/>
        </w:rPr>
        <w:t xml:space="preserve">n el </w:t>
      </w:r>
      <w:r w:rsidR="00E642FB" w:rsidRPr="00B75D51">
        <w:rPr>
          <w:rFonts w:ascii="Century Gothic" w:eastAsia="Century Gothic" w:hAnsi="Century Gothic" w:cs="Century Gothic"/>
          <w:b/>
          <w:bCs/>
          <w:color w:val="auto"/>
          <w:lang w:val="es-ES"/>
        </w:rPr>
        <w:t xml:space="preserve">extremo opuesto se sitúa Castilla y León, </w:t>
      </w:r>
      <w:r w:rsidR="00E642FB" w:rsidRPr="00B75D51">
        <w:rPr>
          <w:rFonts w:ascii="Century Gothic" w:eastAsia="Century Gothic" w:hAnsi="Century Gothic" w:cs="Century Gothic"/>
          <w:color w:val="auto"/>
          <w:lang w:val="es-ES"/>
        </w:rPr>
        <w:t xml:space="preserve">donde </w:t>
      </w:r>
      <w:r w:rsidR="00E642FB" w:rsidRPr="00B75D51">
        <w:rPr>
          <w:rFonts w:ascii="Century Gothic" w:eastAsia="Century Gothic" w:hAnsi="Century Gothic" w:cs="Century Gothic"/>
          <w:b/>
          <w:bCs/>
          <w:color w:val="auto"/>
          <w:lang w:val="es-ES"/>
        </w:rPr>
        <w:t>únicamente un 19,6 % de los profesionales afirma contar con este tipo de iniciativas</w:t>
      </w:r>
      <w:r w:rsidR="00E642FB" w:rsidRPr="00B75D51">
        <w:rPr>
          <w:rFonts w:ascii="Century Gothic" w:eastAsia="Century Gothic" w:hAnsi="Century Gothic" w:cs="Century Gothic"/>
          <w:color w:val="auto"/>
          <w:lang w:val="es-ES"/>
        </w:rPr>
        <w:t xml:space="preserve"> dentro de su compañía.</w:t>
      </w:r>
    </w:p>
    <w:p w14:paraId="63C920B5" w14:textId="77777777" w:rsidR="008F3210" w:rsidRPr="00251F81" w:rsidRDefault="008F3210" w:rsidP="00251F81">
      <w:pPr>
        <w:jc w:val="both"/>
        <w:rPr>
          <w:rFonts w:ascii="Century Gothic" w:eastAsia="Century Gothic" w:hAnsi="Century Gothic" w:cs="Century Gothic"/>
          <w:color w:val="auto"/>
          <w:lang w:val="es-ES"/>
        </w:rPr>
      </w:pPr>
    </w:p>
    <w:p w14:paraId="2A4EFE4B" w14:textId="77777777" w:rsidR="00D1158E" w:rsidRPr="00D1158E" w:rsidRDefault="00D1158E" w:rsidP="00D1158E">
      <w:pPr>
        <w:jc w:val="both"/>
        <w:rPr>
          <w:rFonts w:ascii="Century Gothic" w:eastAsia="Century Gothic" w:hAnsi="Century Gothic" w:cs="Century Gothic"/>
          <w:b/>
          <w:bCs/>
          <w:color w:val="auto"/>
          <w:lang w:val="es-ES"/>
        </w:rPr>
      </w:pPr>
      <w:r w:rsidRPr="00D1158E">
        <w:rPr>
          <w:rFonts w:ascii="Century Gothic" w:eastAsia="Century Gothic" w:hAnsi="Century Gothic" w:cs="Century Gothic"/>
          <w:b/>
          <w:bCs/>
          <w:color w:val="auto"/>
          <w:lang w:val="es-ES"/>
        </w:rPr>
        <w:t>Grandes diferencias según el sector y el tamaño de empresa</w:t>
      </w:r>
    </w:p>
    <w:p w14:paraId="0474017D" w14:textId="77777777" w:rsidR="00E01BFF" w:rsidRPr="007B3D8D" w:rsidRDefault="00E01BFF" w:rsidP="00E01BFF">
      <w:pPr>
        <w:jc w:val="both"/>
        <w:rPr>
          <w:rFonts w:ascii="Century Gothic" w:eastAsia="Century Gothic" w:hAnsi="Century Gothic" w:cs="Century Gothic"/>
          <w:b/>
          <w:bCs/>
          <w:color w:val="auto"/>
          <w:lang w:val="es-ES"/>
        </w:rPr>
      </w:pPr>
    </w:p>
    <w:p w14:paraId="1F38140E" w14:textId="6DD9981F" w:rsidR="00D56F48" w:rsidRDefault="00D56F48" w:rsidP="00D56F48">
      <w:pPr>
        <w:jc w:val="both"/>
        <w:rPr>
          <w:rFonts w:ascii="Century Gothic" w:eastAsia="Century Gothic" w:hAnsi="Century Gothic" w:cs="Century Gothic"/>
          <w:color w:val="auto"/>
          <w:lang w:val="es-ES"/>
        </w:rPr>
      </w:pPr>
      <w:r>
        <w:rPr>
          <w:rFonts w:ascii="Century Gothic" w:eastAsia="Century Gothic" w:hAnsi="Century Gothic" w:cs="Century Gothic"/>
          <w:color w:val="auto"/>
          <w:lang w:val="es-ES"/>
        </w:rPr>
        <w:t xml:space="preserve">Sectores como el de la </w:t>
      </w:r>
      <w:r w:rsidRPr="00D56F48">
        <w:rPr>
          <w:rFonts w:ascii="Century Gothic" w:eastAsia="Century Gothic" w:hAnsi="Century Gothic" w:cs="Century Gothic"/>
          <w:b/>
          <w:bCs/>
          <w:color w:val="auto"/>
          <w:lang w:val="es-ES"/>
        </w:rPr>
        <w:t>información y comunicaciones (37,5 %), comercio y distribución (38,1 %) y servicios empresariales (36,1 %) son los ámbitos donde más se impulsa la educación financiera</w:t>
      </w:r>
      <w:r w:rsidRPr="00D56F48">
        <w:rPr>
          <w:rFonts w:ascii="Century Gothic" w:eastAsia="Century Gothic" w:hAnsi="Century Gothic" w:cs="Century Gothic"/>
          <w:color w:val="auto"/>
          <w:lang w:val="es-ES"/>
        </w:rPr>
        <w:t xml:space="preserve">, mientras que la </w:t>
      </w:r>
      <w:r w:rsidRPr="00D56F48">
        <w:rPr>
          <w:rFonts w:ascii="Century Gothic" w:eastAsia="Century Gothic" w:hAnsi="Century Gothic" w:cs="Century Gothic"/>
          <w:b/>
          <w:bCs/>
          <w:color w:val="auto"/>
          <w:lang w:val="es-ES"/>
        </w:rPr>
        <w:t>Administración Pública registra los peores datos: solo un 10,7 % recibe este tipo de formación</w:t>
      </w:r>
      <w:r w:rsidRPr="00D56F48">
        <w:rPr>
          <w:rFonts w:ascii="Century Gothic" w:eastAsia="Century Gothic" w:hAnsi="Century Gothic" w:cs="Century Gothic"/>
          <w:color w:val="auto"/>
          <w:lang w:val="es-ES"/>
        </w:rPr>
        <w:t>, aunque un 78,6 % querría tenerla.</w:t>
      </w:r>
    </w:p>
    <w:p w14:paraId="5A4444ED" w14:textId="77777777" w:rsidR="00D56F48" w:rsidRPr="00D56F48" w:rsidRDefault="00D56F48" w:rsidP="00D56F48">
      <w:pPr>
        <w:jc w:val="both"/>
        <w:rPr>
          <w:rFonts w:ascii="Century Gothic" w:eastAsia="Century Gothic" w:hAnsi="Century Gothic" w:cs="Century Gothic"/>
          <w:color w:val="auto"/>
          <w:lang w:val="es-ES"/>
        </w:rPr>
      </w:pPr>
    </w:p>
    <w:p w14:paraId="45661415" w14:textId="12BB63FC" w:rsidR="00D56F48" w:rsidRPr="00D56F48" w:rsidRDefault="00D56F48" w:rsidP="00D56F48">
      <w:pPr>
        <w:jc w:val="both"/>
        <w:rPr>
          <w:rFonts w:ascii="Century Gothic" w:eastAsia="Century Gothic" w:hAnsi="Century Gothic" w:cs="Century Gothic"/>
          <w:color w:val="auto"/>
          <w:lang w:val="es-ES"/>
        </w:rPr>
      </w:pPr>
      <w:r w:rsidRPr="00D56F48">
        <w:rPr>
          <w:rFonts w:ascii="Century Gothic" w:eastAsia="Century Gothic" w:hAnsi="Century Gothic" w:cs="Century Gothic"/>
          <w:color w:val="auto"/>
          <w:lang w:val="es-ES"/>
        </w:rPr>
        <w:t xml:space="preserve">Por tamaño de empresa, </w:t>
      </w:r>
      <w:r w:rsidRPr="00D56F48">
        <w:rPr>
          <w:rFonts w:ascii="Century Gothic" w:eastAsia="Century Gothic" w:hAnsi="Century Gothic" w:cs="Century Gothic"/>
          <w:b/>
          <w:bCs/>
          <w:color w:val="auto"/>
          <w:lang w:val="es-ES"/>
        </w:rPr>
        <w:t>las grandes empresas lideran estas iniciativas: el 38,7 % de los profesionales afirma tener acceso a formación financiera</w:t>
      </w:r>
      <w:r w:rsidRPr="00D56F48">
        <w:rPr>
          <w:rFonts w:ascii="Century Gothic" w:eastAsia="Century Gothic" w:hAnsi="Century Gothic" w:cs="Century Gothic"/>
          <w:color w:val="auto"/>
          <w:lang w:val="es-ES"/>
        </w:rPr>
        <w:t xml:space="preserve">, aunque más de la mitad </w:t>
      </w:r>
      <w:r w:rsidR="00DC39E7" w:rsidRPr="004B61F9">
        <w:rPr>
          <w:rFonts w:ascii="Century Gothic" w:eastAsia="Century Gothic" w:hAnsi="Century Gothic" w:cs="Century Gothic"/>
          <w:color w:val="auto"/>
          <w:lang w:val="es-ES"/>
        </w:rPr>
        <w:t xml:space="preserve">(53,3 %) </w:t>
      </w:r>
      <w:r w:rsidRPr="00D56F48">
        <w:rPr>
          <w:rFonts w:ascii="Century Gothic" w:eastAsia="Century Gothic" w:hAnsi="Century Gothic" w:cs="Century Gothic"/>
          <w:color w:val="auto"/>
          <w:lang w:val="es-ES"/>
        </w:rPr>
        <w:t>del talento considera que todavía debería reforzarse.</w:t>
      </w:r>
    </w:p>
    <w:p w14:paraId="26C61AC0" w14:textId="77777777" w:rsidR="0013109D" w:rsidRDefault="0013109D" w:rsidP="00571E27">
      <w:pPr>
        <w:jc w:val="both"/>
        <w:rPr>
          <w:rFonts w:ascii="Century Gothic" w:eastAsia="Century Gothic" w:hAnsi="Century Gothic" w:cs="Century Gothic"/>
          <w:b/>
          <w:bCs/>
          <w:color w:val="auto"/>
          <w:lang w:val="es-ES"/>
        </w:rPr>
      </w:pPr>
    </w:p>
    <w:p w14:paraId="4979BB23" w14:textId="77777777" w:rsidR="00D1158E" w:rsidRPr="00D1158E" w:rsidRDefault="00D1158E" w:rsidP="00D1158E">
      <w:pPr>
        <w:jc w:val="both"/>
        <w:rPr>
          <w:rFonts w:ascii="Century Gothic" w:eastAsia="Century Gothic" w:hAnsi="Century Gothic" w:cs="Century Gothic"/>
          <w:b/>
          <w:bCs/>
          <w:color w:val="auto"/>
          <w:lang w:val="es-ES"/>
        </w:rPr>
      </w:pPr>
      <w:r w:rsidRPr="00D1158E">
        <w:rPr>
          <w:rFonts w:ascii="Century Gothic" w:eastAsia="Century Gothic" w:hAnsi="Century Gothic" w:cs="Century Gothic"/>
          <w:b/>
          <w:bCs/>
          <w:color w:val="auto"/>
          <w:lang w:val="es-ES"/>
        </w:rPr>
        <w:t xml:space="preserve">Edenred y </w:t>
      </w:r>
      <w:proofErr w:type="spellStart"/>
      <w:r w:rsidRPr="00D1158E">
        <w:rPr>
          <w:rFonts w:ascii="Century Gothic" w:eastAsia="Century Gothic" w:hAnsi="Century Gothic" w:cs="Century Gothic"/>
          <w:b/>
          <w:bCs/>
          <w:color w:val="auto"/>
          <w:lang w:val="es-ES"/>
        </w:rPr>
        <w:t>TaxDown</w:t>
      </w:r>
      <w:proofErr w:type="spellEnd"/>
      <w:r w:rsidRPr="00D1158E">
        <w:rPr>
          <w:rFonts w:ascii="Century Gothic" w:eastAsia="Century Gothic" w:hAnsi="Century Gothic" w:cs="Century Gothic"/>
          <w:b/>
          <w:bCs/>
          <w:color w:val="auto"/>
          <w:lang w:val="es-ES"/>
        </w:rPr>
        <w:t xml:space="preserve"> lanzan una guía para ayudar a optimizar el salario</w:t>
      </w:r>
    </w:p>
    <w:p w14:paraId="53BB1B61" w14:textId="77777777" w:rsidR="007377A1" w:rsidRPr="00072CD0" w:rsidRDefault="007377A1" w:rsidP="00072CD0">
      <w:pPr>
        <w:jc w:val="both"/>
        <w:rPr>
          <w:rFonts w:ascii="Century Gothic" w:eastAsia="Century Gothic" w:hAnsi="Century Gothic" w:cs="Century Gothic"/>
          <w:color w:val="auto"/>
          <w:lang w:val="es-ES"/>
        </w:rPr>
      </w:pPr>
    </w:p>
    <w:p w14:paraId="24D9D8DB" w14:textId="77777777" w:rsidR="000326C2" w:rsidRDefault="000326C2" w:rsidP="000326C2">
      <w:pPr>
        <w:jc w:val="both"/>
        <w:rPr>
          <w:rFonts w:ascii="Century Gothic" w:hAnsi="Century Gothic" w:cs="Century Gothic"/>
          <w:color w:val="auto"/>
          <w:lang w:val="es-ES"/>
        </w:rPr>
      </w:pPr>
      <w:r w:rsidRPr="000326C2">
        <w:rPr>
          <w:rFonts w:ascii="Century Gothic" w:hAnsi="Century Gothic" w:cs="Century Gothic"/>
          <w:color w:val="auto"/>
          <w:lang w:val="es-ES"/>
        </w:rPr>
        <w:t xml:space="preserve">Coincidiendo con la recta final de la campaña de la renta, </w:t>
      </w:r>
      <w:r w:rsidRPr="000326C2">
        <w:rPr>
          <w:rFonts w:ascii="Century Gothic" w:hAnsi="Century Gothic" w:cs="Century Gothic"/>
          <w:b/>
          <w:bCs/>
          <w:color w:val="auto"/>
          <w:lang w:val="es-ES"/>
        </w:rPr>
        <w:t xml:space="preserve">Edenred y </w:t>
      </w:r>
      <w:proofErr w:type="spellStart"/>
      <w:r w:rsidRPr="000326C2">
        <w:rPr>
          <w:rFonts w:ascii="Century Gothic" w:hAnsi="Century Gothic" w:cs="Century Gothic"/>
          <w:b/>
          <w:bCs/>
          <w:color w:val="auto"/>
          <w:lang w:val="es-ES"/>
        </w:rPr>
        <w:t>TaxDown</w:t>
      </w:r>
      <w:proofErr w:type="spellEnd"/>
      <w:r w:rsidRPr="000326C2">
        <w:rPr>
          <w:rFonts w:ascii="Century Gothic" w:hAnsi="Century Gothic" w:cs="Century Gothic"/>
          <w:b/>
          <w:bCs/>
          <w:color w:val="auto"/>
          <w:lang w:val="es-ES"/>
        </w:rPr>
        <w:t xml:space="preserve"> han lanzado una guía práctica dirigida a profesionales para ayudarles a optimizar su salario</w:t>
      </w:r>
      <w:r w:rsidRPr="000326C2">
        <w:rPr>
          <w:rFonts w:ascii="Century Gothic" w:hAnsi="Century Gothic" w:cs="Century Gothic"/>
          <w:color w:val="auto"/>
          <w:lang w:val="es-ES"/>
        </w:rPr>
        <w:t>, mejorar su planificación financiera y aumentar su poder adquisitivo mediante recomendaciones sobre fiscalidad, beneficios sociales y retribución flexible.</w:t>
      </w:r>
    </w:p>
    <w:p w14:paraId="1FB06A55" w14:textId="77777777" w:rsidR="000326C2" w:rsidRPr="000326C2" w:rsidRDefault="000326C2" w:rsidP="000326C2">
      <w:pPr>
        <w:jc w:val="both"/>
        <w:rPr>
          <w:rFonts w:ascii="Century Gothic" w:hAnsi="Century Gothic" w:cs="Century Gothic"/>
          <w:color w:val="auto"/>
          <w:lang w:val="es-ES"/>
        </w:rPr>
      </w:pPr>
    </w:p>
    <w:p w14:paraId="546116CF" w14:textId="423B0491" w:rsidR="000326C2" w:rsidRDefault="000326C2" w:rsidP="000326C2">
      <w:pPr>
        <w:jc w:val="both"/>
        <w:rPr>
          <w:rFonts w:ascii="Century Gothic" w:hAnsi="Century Gothic" w:cs="Century Gothic"/>
          <w:color w:val="auto"/>
          <w:lang w:val="es-ES"/>
        </w:rPr>
      </w:pPr>
      <w:r w:rsidRPr="000326C2">
        <w:rPr>
          <w:rFonts w:ascii="Century Gothic" w:hAnsi="Century Gothic" w:cs="Century Gothic"/>
          <w:color w:val="auto"/>
          <w:lang w:val="es-ES"/>
        </w:rPr>
        <w:t xml:space="preserve">Gracias a esta </w:t>
      </w:r>
      <w:r w:rsidR="00026E3C">
        <w:rPr>
          <w:rFonts w:ascii="Century Gothic" w:hAnsi="Century Gothic" w:cs="Century Gothic"/>
          <w:color w:val="auto"/>
          <w:lang w:val="es-ES"/>
        </w:rPr>
        <w:t>herramienta práctica y</w:t>
      </w:r>
      <w:r w:rsidRPr="000326C2">
        <w:rPr>
          <w:rFonts w:ascii="Century Gothic" w:hAnsi="Century Gothic" w:cs="Century Gothic"/>
          <w:color w:val="auto"/>
          <w:lang w:val="es-ES"/>
        </w:rPr>
        <w:t xml:space="preserve"> a las soluciones de ambas compañías, </w:t>
      </w:r>
      <w:r w:rsidRPr="000326C2">
        <w:rPr>
          <w:rFonts w:ascii="Century Gothic" w:hAnsi="Century Gothic" w:cs="Century Gothic"/>
          <w:b/>
          <w:bCs/>
          <w:color w:val="auto"/>
          <w:lang w:val="es-ES"/>
        </w:rPr>
        <w:t>los profesionales pueden llegar a ahorrar entre 1.500 € y 2.600 € al año</w:t>
      </w:r>
      <w:r w:rsidRPr="000326C2">
        <w:rPr>
          <w:rFonts w:ascii="Century Gothic" w:hAnsi="Century Gothic" w:cs="Century Gothic"/>
          <w:color w:val="auto"/>
          <w:lang w:val="es-ES"/>
        </w:rPr>
        <w:t>, combinando el ahorro derivado de la retribución flexible con la optimización de deducciones y la correcta revisión de la declaración de la renta.</w:t>
      </w:r>
    </w:p>
    <w:p w14:paraId="723B8204" w14:textId="77777777" w:rsidR="000326C2" w:rsidRPr="000326C2" w:rsidRDefault="000326C2" w:rsidP="000326C2">
      <w:pPr>
        <w:jc w:val="both"/>
        <w:rPr>
          <w:rFonts w:ascii="Century Gothic" w:hAnsi="Century Gothic" w:cs="Century Gothic"/>
          <w:color w:val="auto"/>
          <w:lang w:val="es-ES"/>
        </w:rPr>
      </w:pPr>
    </w:p>
    <w:p w14:paraId="62C33D5F" w14:textId="6155BCF8" w:rsidR="00C84F64" w:rsidRPr="004B61F9" w:rsidRDefault="00F33444" w:rsidP="000326C2">
      <w:pPr>
        <w:jc w:val="both"/>
        <w:rPr>
          <w:rFonts w:ascii="Century Gothic" w:hAnsi="Century Gothic" w:cs="Century Gothic"/>
          <w:color w:val="auto"/>
          <w:lang w:val="es-ES"/>
        </w:rPr>
      </w:pPr>
      <w:r w:rsidRPr="004B61F9">
        <w:rPr>
          <w:rFonts w:ascii="Century Gothic" w:hAnsi="Century Gothic" w:cs="Century Gothic"/>
          <w:color w:val="auto"/>
          <w:lang w:val="es-ES"/>
        </w:rPr>
        <w:t xml:space="preserve">La guía pone el foco en </w:t>
      </w:r>
      <w:r w:rsidRPr="004B61F9">
        <w:rPr>
          <w:rFonts w:ascii="Century Gothic" w:hAnsi="Century Gothic" w:cs="Century Gothic"/>
          <w:b/>
          <w:bCs/>
          <w:color w:val="auto"/>
          <w:lang w:val="es-ES"/>
        </w:rPr>
        <w:t>algunos de los errores más habituales que cometen los contribuyentes en la campaña de la renta</w:t>
      </w:r>
      <w:r w:rsidRPr="004B61F9">
        <w:rPr>
          <w:rFonts w:ascii="Century Gothic" w:hAnsi="Century Gothic" w:cs="Century Gothic"/>
          <w:color w:val="auto"/>
          <w:lang w:val="es-ES"/>
        </w:rPr>
        <w:t xml:space="preserve">, como </w:t>
      </w:r>
      <w:r w:rsidRPr="004B61F9">
        <w:rPr>
          <w:rFonts w:ascii="Century Gothic" w:hAnsi="Century Gothic" w:cs="Century Gothic"/>
          <w:b/>
          <w:bCs/>
          <w:color w:val="auto"/>
          <w:lang w:val="es-ES"/>
        </w:rPr>
        <w:t xml:space="preserve">confirmar el borrador sin revisar posibles deducciones </w:t>
      </w:r>
      <w:r w:rsidRPr="004B61F9">
        <w:rPr>
          <w:rFonts w:ascii="Century Gothic" w:hAnsi="Century Gothic" w:cs="Century Gothic"/>
          <w:color w:val="auto"/>
          <w:lang w:val="es-ES"/>
        </w:rPr>
        <w:t xml:space="preserve">o </w:t>
      </w:r>
      <w:r w:rsidRPr="004B61F9">
        <w:rPr>
          <w:rFonts w:ascii="Century Gothic" w:hAnsi="Century Gothic" w:cs="Century Gothic"/>
          <w:b/>
          <w:bCs/>
          <w:color w:val="auto"/>
          <w:lang w:val="es-ES"/>
        </w:rPr>
        <w:t xml:space="preserve">no identificar correctamente beneficios exentos de IRPF </w:t>
      </w:r>
      <w:r w:rsidRPr="004B61F9">
        <w:rPr>
          <w:rFonts w:ascii="Century Gothic" w:hAnsi="Century Gothic" w:cs="Century Gothic"/>
          <w:color w:val="auto"/>
          <w:lang w:val="es-ES"/>
        </w:rPr>
        <w:t xml:space="preserve">vinculados a alimentación, movilidad o guardería. Además, </w:t>
      </w:r>
      <w:r w:rsidRPr="004B61F9">
        <w:rPr>
          <w:rFonts w:ascii="Century Gothic" w:hAnsi="Century Gothic" w:cs="Century Gothic"/>
          <w:b/>
          <w:bCs/>
          <w:color w:val="auto"/>
          <w:lang w:val="es-ES"/>
        </w:rPr>
        <w:t>recoge claves para optimizar el salario a través de fórmulas de retribución flexible</w:t>
      </w:r>
      <w:r w:rsidRPr="004B61F9">
        <w:rPr>
          <w:rFonts w:ascii="Century Gothic" w:hAnsi="Century Gothic" w:cs="Century Gothic"/>
          <w:color w:val="auto"/>
          <w:lang w:val="es-ES"/>
        </w:rPr>
        <w:t>, que permiten mejorar el poder adquisitivo y reducir la carga fiscal sin necesidad de incrementar el salario bruto.</w:t>
      </w:r>
    </w:p>
    <w:p w14:paraId="6556AE1A" w14:textId="77777777" w:rsidR="00F33444" w:rsidRPr="00C84F64" w:rsidRDefault="00F33444" w:rsidP="000326C2">
      <w:pPr>
        <w:jc w:val="both"/>
        <w:rPr>
          <w:rFonts w:ascii="Century Gothic" w:hAnsi="Century Gothic" w:cs="Century Gothic"/>
          <w:color w:val="auto"/>
          <w:lang w:val="es-ES"/>
        </w:rPr>
      </w:pPr>
    </w:p>
    <w:p w14:paraId="48D9FFAF" w14:textId="77777777" w:rsidR="00512CC2" w:rsidRDefault="003635D0">
      <w:pPr>
        <w:jc w:val="both"/>
        <w:rPr>
          <w:rFonts w:ascii="Century Gothic" w:hAnsi="Century Gothic" w:cs="Century Gothic"/>
          <w:color w:val="auto"/>
          <w:lang w:val="es-ES"/>
        </w:rPr>
      </w:pPr>
      <w:r w:rsidRPr="003635D0">
        <w:rPr>
          <w:rFonts w:ascii="Century Gothic" w:hAnsi="Century Gothic" w:cs="Century Gothic"/>
          <w:color w:val="auto"/>
          <w:lang w:val="es-ES"/>
        </w:rPr>
        <w:t xml:space="preserve">El contenido completo puede consultarse </w:t>
      </w:r>
      <w:r w:rsidRPr="00AA663B">
        <w:rPr>
          <w:rFonts w:ascii="Century Gothic" w:hAnsi="Century Gothic" w:cs="Century Gothic"/>
          <w:b/>
          <w:bCs/>
          <w:color w:val="auto"/>
          <w:u w:val="single"/>
          <w:lang w:val="es-ES"/>
        </w:rPr>
        <w:t>aquí</w:t>
      </w:r>
      <w:r w:rsidRPr="003635D0">
        <w:rPr>
          <w:rFonts w:ascii="Century Gothic" w:hAnsi="Century Gothic" w:cs="Century Gothic"/>
          <w:color w:val="auto"/>
          <w:lang w:val="es-ES"/>
        </w:rPr>
        <w:t xml:space="preserve"> para acceder a recomendaciones prácticas y claves fiscales que ayudan a optimizar el salario y mejorar el poder adquisitivo </w:t>
      </w:r>
      <w:r w:rsidR="008334DC">
        <w:rPr>
          <w:rFonts w:ascii="Century Gothic" w:hAnsi="Century Gothic" w:cs="Century Gothic"/>
          <w:color w:val="auto"/>
          <w:lang w:val="es-ES"/>
        </w:rPr>
        <w:t>durante la campaña de</w:t>
      </w:r>
      <w:r w:rsidRPr="003635D0">
        <w:rPr>
          <w:rFonts w:ascii="Century Gothic" w:hAnsi="Century Gothic" w:cs="Century Gothic"/>
          <w:color w:val="auto"/>
          <w:lang w:val="es-ES"/>
        </w:rPr>
        <w:t xml:space="preserve"> la renta.</w:t>
      </w:r>
    </w:p>
    <w:p w14:paraId="51A3DA72" w14:textId="77777777" w:rsidR="00512CC2" w:rsidRDefault="00512CC2">
      <w:pPr>
        <w:jc w:val="both"/>
        <w:rPr>
          <w:rFonts w:ascii="Century Gothic" w:hAnsi="Century Gothic" w:cs="Century Gothic"/>
          <w:color w:val="auto"/>
          <w:lang w:val="es-ES"/>
        </w:rPr>
      </w:pPr>
    </w:p>
    <w:p w14:paraId="1D02F80E" w14:textId="77777777" w:rsidR="00512CC2" w:rsidRDefault="00512CC2">
      <w:pPr>
        <w:jc w:val="both"/>
        <w:rPr>
          <w:rFonts w:ascii="Century Gothic" w:hAnsi="Century Gothic" w:cs="Century Gothic"/>
          <w:color w:val="auto"/>
          <w:lang w:val="es-ES"/>
        </w:rPr>
      </w:pPr>
    </w:p>
    <w:p w14:paraId="51E74DA8" w14:textId="16001A70" w:rsidR="0034131E" w:rsidRPr="00512CC2" w:rsidRDefault="00E660F9">
      <w:pPr>
        <w:jc w:val="both"/>
        <w:rPr>
          <w:rFonts w:ascii="Century Gothic" w:hAnsi="Century Gothic" w:cs="Century Gothic"/>
          <w:color w:val="auto"/>
          <w:lang w:val="es-ES"/>
        </w:rPr>
      </w:pPr>
      <w:r w:rsidRPr="00833D4F">
        <w:rPr>
          <w:rFonts w:ascii="Century Gothic" w:eastAsia="Century Gothic" w:hAnsi="Century Gothic" w:cs="Century Gothic"/>
          <w:color w:val="000000"/>
          <w:lang w:val="es-ES"/>
        </w:rPr>
        <w:lastRenderedPageBreak/>
        <w:t>▬▬</w:t>
      </w:r>
    </w:p>
    <w:p w14:paraId="319B1527" w14:textId="77777777" w:rsidR="0034131E" w:rsidRPr="00833D4F" w:rsidRDefault="0034131E">
      <w:pPr>
        <w:jc w:val="both"/>
        <w:rPr>
          <w:rFonts w:ascii="Century Gothic" w:eastAsia="Century Gothic" w:hAnsi="Century Gothic" w:cs="Century Gothic"/>
          <w:lang w:val="es-ES"/>
        </w:rPr>
      </w:pPr>
    </w:p>
    <w:p w14:paraId="25873AF5"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t>Sobre Edenred</w:t>
      </w:r>
    </w:p>
    <w:p w14:paraId="1913A89B" w14:textId="35E52805"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lang w:val="es-ES"/>
        </w:rPr>
      </w:pPr>
    </w:p>
    <w:p w14:paraId="42281989" w14:textId="441184D9"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b/>
          <w:bCs/>
          <w:color w:val="000000" w:themeColor="text1"/>
          <w:sz w:val="18"/>
          <w:szCs w:val="18"/>
          <w:lang w:val="es-ES"/>
        </w:rPr>
        <w:t>Edenred</w:t>
      </w:r>
      <w:r w:rsidRPr="10C8913A">
        <w:rPr>
          <w:rFonts w:ascii="Century Gothic" w:eastAsia="Century Gothic" w:hAnsi="Century Gothic" w:cs="Century Gothic"/>
          <w:color w:val="000000" w:themeColor="text1"/>
          <w:sz w:val="18"/>
          <w:szCs w:val="18"/>
          <w:lang w:val="es-ES"/>
        </w:rPr>
        <w:t xml:space="preserve"> es líder </w:t>
      </w:r>
      <w:r w:rsidRPr="004B61F9">
        <w:rPr>
          <w:rFonts w:ascii="Century Gothic" w:eastAsia="Century Gothic" w:hAnsi="Century Gothic" w:cs="Century Gothic"/>
          <w:color w:val="000000" w:themeColor="text1"/>
          <w:sz w:val="18"/>
          <w:szCs w:val="18"/>
          <w:lang w:val="es-ES"/>
        </w:rPr>
        <w:t>global en Benefits &amp; Engagement y Movilidad.</w:t>
      </w:r>
    </w:p>
    <w:p w14:paraId="55B811DA" w14:textId="1C38D9F9"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18A2EBB6" w14:textId="54F2D83D"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Con más de 1 millón de empresas cliente en 44 países, la plataforma de Edenred ofrece a más de 60 millones de usuarios acceso a los servicios y productos de más de 2 millones de comercios asociados.</w:t>
      </w:r>
    </w:p>
    <w:p w14:paraId="77B09E63" w14:textId="02CE97C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4A0712F" w14:textId="0256EC9E"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proporciona soluciones digitales dirigidas a profesionales (vales de comida, transporte al trabajo, tarjetas regalo, bienestar, incentivos y ofertas preferentes), a gestores de flotas (soluciones </w:t>
      </w:r>
      <w:proofErr w:type="spellStart"/>
      <w:r w:rsidRPr="10C8913A">
        <w:rPr>
          <w:rFonts w:ascii="Century Gothic" w:eastAsia="Century Gothic" w:hAnsi="Century Gothic" w:cs="Century Gothic"/>
          <w:color w:val="000000" w:themeColor="text1"/>
          <w:sz w:val="18"/>
          <w:szCs w:val="18"/>
          <w:lang w:val="es-ES"/>
        </w:rPr>
        <w:t>multienergía</w:t>
      </w:r>
      <w:proofErr w:type="spellEnd"/>
      <w:r w:rsidRPr="10C8913A">
        <w:rPr>
          <w:rFonts w:ascii="Century Gothic" w:eastAsia="Century Gothic" w:hAnsi="Century Gothic" w:cs="Century Gothic"/>
          <w:color w:val="000000" w:themeColor="text1"/>
          <w:sz w:val="18"/>
          <w:szCs w:val="18"/>
          <w:lang w:val="es-ES"/>
        </w:rPr>
        <w:t xml:space="preserve"> que incluyen recarga de vehículos eléctricos, servicios de mantenimiento, peajes y estacionamiento) y a pagos corporativos (tarjetas virtuales).</w:t>
      </w:r>
    </w:p>
    <w:p w14:paraId="7603B261" w14:textId="09ED759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87302A5" w14:textId="6C56C94B"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Guiadas por el propósito del Grupo, </w:t>
      </w:r>
      <w:r w:rsidRPr="10C8913A">
        <w:rPr>
          <w:rFonts w:ascii="Century Gothic" w:eastAsia="Century Gothic" w:hAnsi="Century Gothic" w:cs="Century Gothic"/>
          <w:i/>
          <w:iCs/>
          <w:color w:val="000000" w:themeColor="text1"/>
          <w:sz w:val="18"/>
          <w:szCs w:val="18"/>
          <w:lang w:val="es-ES"/>
        </w:rPr>
        <w:t>“</w:t>
      </w:r>
      <w:proofErr w:type="spellStart"/>
      <w:r w:rsidRPr="10C8913A">
        <w:rPr>
          <w:rFonts w:ascii="Century Gothic" w:eastAsia="Century Gothic" w:hAnsi="Century Gothic" w:cs="Century Gothic"/>
          <w:i/>
          <w:iCs/>
          <w:color w:val="000000" w:themeColor="text1"/>
          <w:sz w:val="18"/>
          <w:szCs w:val="18"/>
          <w:lang w:val="es-ES"/>
        </w:rPr>
        <w:t>Enrich</w:t>
      </w:r>
      <w:proofErr w:type="spellEnd"/>
      <w:r w:rsidRPr="10C8913A">
        <w:rPr>
          <w:rFonts w:ascii="Century Gothic" w:eastAsia="Century Gothic" w:hAnsi="Century Gothic" w:cs="Century Gothic"/>
          <w:i/>
          <w:iCs/>
          <w:color w:val="000000" w:themeColor="text1"/>
          <w:sz w:val="18"/>
          <w:szCs w:val="18"/>
          <w:lang w:val="es-ES"/>
        </w:rPr>
        <w:t xml:space="preserve"> </w:t>
      </w:r>
      <w:proofErr w:type="spellStart"/>
      <w:r w:rsidRPr="10C8913A">
        <w:rPr>
          <w:rFonts w:ascii="Century Gothic" w:eastAsia="Century Gothic" w:hAnsi="Century Gothic" w:cs="Century Gothic"/>
          <w:i/>
          <w:iCs/>
          <w:color w:val="000000" w:themeColor="text1"/>
          <w:sz w:val="18"/>
          <w:szCs w:val="18"/>
          <w:lang w:val="es-ES"/>
        </w:rPr>
        <w:t>connections</w:t>
      </w:r>
      <w:proofErr w:type="spellEnd"/>
      <w:r w:rsidRPr="10C8913A">
        <w:rPr>
          <w:rFonts w:ascii="Century Gothic" w:eastAsia="Century Gothic" w:hAnsi="Century Gothic" w:cs="Century Gothic"/>
          <w:i/>
          <w:iCs/>
          <w:color w:val="000000" w:themeColor="text1"/>
          <w:sz w:val="18"/>
          <w:szCs w:val="18"/>
          <w:lang w:val="es-ES"/>
        </w:rPr>
        <w:t xml:space="preserve">. For </w:t>
      </w:r>
      <w:proofErr w:type="spellStart"/>
      <w:r w:rsidRPr="10C8913A">
        <w:rPr>
          <w:rFonts w:ascii="Century Gothic" w:eastAsia="Century Gothic" w:hAnsi="Century Gothic" w:cs="Century Gothic"/>
          <w:i/>
          <w:iCs/>
          <w:color w:val="000000" w:themeColor="text1"/>
          <w:sz w:val="18"/>
          <w:szCs w:val="18"/>
          <w:lang w:val="es-ES"/>
        </w:rPr>
        <w:t>good</w:t>
      </w:r>
      <w:proofErr w:type="spellEnd"/>
      <w:r w:rsidRPr="10C8913A">
        <w:rPr>
          <w:rFonts w:ascii="Century Gothic" w:eastAsia="Century Gothic" w:hAnsi="Century Gothic" w:cs="Century Gothic"/>
          <w:i/>
          <w:iCs/>
          <w:color w:val="000000" w:themeColor="text1"/>
          <w:sz w:val="18"/>
          <w:szCs w:val="18"/>
          <w:lang w:val="es-ES"/>
        </w:rPr>
        <w:t>.”</w:t>
      </w:r>
      <w:r w:rsidRPr="10C8913A">
        <w:rPr>
          <w:rFonts w:ascii="Century Gothic" w:eastAsia="Century Gothic" w:hAnsi="Century Gothic" w:cs="Century Gothic"/>
          <w:color w:val="000000" w:themeColor="text1"/>
          <w:sz w:val="18"/>
          <w:szCs w:val="18"/>
          <w:lang w:val="es-ES"/>
        </w:rPr>
        <w:t>, estas soluciones mejoran el bienestar y el poder adquisitivo de los profesionales y simplifican la vida de los conductores profesionales. Asimismo, fomentan el acceso a una alimentación más saludable, a productos más respetuosos con el medioambiente y a una movilidad más sostenible. Además, contribuyen a mejorar la atractividad y la eficiencia de las empresas, dinamizando al mismo tiempo el mercado laboral y las economías locales.</w:t>
      </w:r>
    </w:p>
    <w:p w14:paraId="298965CF" w14:textId="0AB0108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916B0C3" w14:textId="093A653C"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Los 12.000 profesionales de Edenred trabajan cada día para hacer del mundo laboral un ecosistema más conectado, seguro, eficiente y responsable.</w:t>
      </w:r>
    </w:p>
    <w:p w14:paraId="538E00BD" w14:textId="3DBFDFD0"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E8034FB" w14:textId="11C5D08F"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En 2025, gracias a su plataforma tecnológica única, el Grupo generó un volumen de negocio de 49.000 millones de euros, principalmente a través de aplicaciones móviles, plataformas online y tarjetas.</w:t>
      </w:r>
    </w:p>
    <w:p w14:paraId="7E24578C" w14:textId="7B42CFD6"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31F0800" w14:textId="69BA25A8"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cotiza en la Bolsa de París (Euronext Paris) y forma parte de los siguientes índices: CAC Next 20, CAC Large 60, Euronext 100, Euronext </w:t>
      </w:r>
      <w:proofErr w:type="spellStart"/>
      <w:r w:rsidRPr="10C8913A">
        <w:rPr>
          <w:rFonts w:ascii="Century Gothic" w:eastAsia="Century Gothic" w:hAnsi="Century Gothic" w:cs="Century Gothic"/>
          <w:color w:val="000000" w:themeColor="text1"/>
          <w:sz w:val="18"/>
          <w:szCs w:val="18"/>
          <w:lang w:val="es-ES"/>
        </w:rPr>
        <w:t>Tech</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Leaders</w:t>
      </w:r>
      <w:proofErr w:type="spellEnd"/>
      <w:r w:rsidRPr="10C8913A">
        <w:rPr>
          <w:rFonts w:ascii="Century Gothic" w:eastAsia="Century Gothic" w:hAnsi="Century Gothic" w:cs="Century Gothic"/>
          <w:color w:val="000000" w:themeColor="text1"/>
          <w:sz w:val="18"/>
          <w:szCs w:val="18"/>
          <w:lang w:val="es-ES"/>
        </w:rPr>
        <w:t xml:space="preserve">, FTSE4Good, DJSI </w:t>
      </w:r>
      <w:proofErr w:type="spellStart"/>
      <w:r w:rsidRPr="10C8913A">
        <w:rPr>
          <w:rFonts w:ascii="Century Gothic" w:eastAsia="Century Gothic" w:hAnsi="Century Gothic" w:cs="Century Gothic"/>
          <w:color w:val="000000" w:themeColor="text1"/>
          <w:sz w:val="18"/>
          <w:szCs w:val="18"/>
          <w:lang w:val="es-ES"/>
        </w:rPr>
        <w:t>Europe</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 xml:space="preserve"> y DJSI </w:t>
      </w:r>
      <w:proofErr w:type="spellStart"/>
      <w:r w:rsidRPr="10C8913A">
        <w:rPr>
          <w:rFonts w:ascii="Century Gothic" w:eastAsia="Century Gothic" w:hAnsi="Century Gothic" w:cs="Century Gothic"/>
          <w:color w:val="000000" w:themeColor="text1"/>
          <w:sz w:val="18"/>
          <w:szCs w:val="18"/>
          <w:lang w:val="es-ES"/>
        </w:rPr>
        <w:t>World</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w:t>
      </w:r>
    </w:p>
    <w:p w14:paraId="66CEAA30" w14:textId="6CA0177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3DB0FAF" w14:textId="01F91401" w:rsidR="30A0C5C1" w:rsidRDefault="30A0C5C1" w:rsidP="10C8913A">
      <w:pPr>
        <w:spacing w:line="240" w:lineRule="auto"/>
        <w:jc w:val="both"/>
        <w:rPr>
          <w:rFonts w:ascii="Century Gothic" w:eastAsia="Century Gothic" w:hAnsi="Century Gothic" w:cs="Century Gothic"/>
          <w:color w:val="000000" w:themeColor="text1"/>
          <w:sz w:val="16"/>
          <w:szCs w:val="16"/>
          <w:lang w:val="es-ES"/>
        </w:rPr>
      </w:pPr>
      <w:r w:rsidRPr="10C8913A">
        <w:rPr>
          <w:rFonts w:ascii="Century Gothic" w:eastAsia="Century Gothic" w:hAnsi="Century Gothic" w:cs="Century Gothic"/>
          <w:i/>
          <w:iCs/>
          <w:color w:val="000000" w:themeColor="text1"/>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631457E5" w14:textId="732368D7" w:rsidR="10C8913A" w:rsidRDefault="10C8913A" w:rsidP="10C8913A">
      <w:pPr>
        <w:spacing w:line="240" w:lineRule="auto"/>
        <w:jc w:val="both"/>
        <w:rPr>
          <w:rFonts w:ascii="Century Gothic" w:eastAsia="Century Gothic" w:hAnsi="Century Gothic" w:cs="Century Gothic"/>
          <w:i/>
          <w:iCs/>
          <w:color w:val="000000" w:themeColor="text1"/>
          <w:sz w:val="16"/>
          <w:szCs w:val="16"/>
          <w:lang w:val="es-ES"/>
        </w:rPr>
      </w:pPr>
    </w:p>
    <w:p w14:paraId="6E54591E" w14:textId="5607B92C" w:rsidR="0034131E" w:rsidRDefault="0034131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4F388AB2" w14:textId="77777777" w:rsidR="00D3684E" w:rsidRPr="00D3684E" w:rsidRDefault="00D3684E" w:rsidP="00D3684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D3684E">
        <w:rPr>
          <w:rFonts w:ascii="Century Gothic" w:eastAsia="Century Gothic" w:hAnsi="Century Gothic" w:cs="Century Gothic"/>
          <w:b/>
          <w:bCs/>
          <w:i/>
          <w:iCs/>
          <w:color w:val="000000"/>
          <w:sz w:val="18"/>
          <w:szCs w:val="18"/>
          <w:lang w:val="es-ES"/>
        </w:rPr>
        <w:t xml:space="preserve">Sobre </w:t>
      </w:r>
      <w:proofErr w:type="spellStart"/>
      <w:r w:rsidRPr="00D3684E">
        <w:rPr>
          <w:rFonts w:ascii="Century Gothic" w:eastAsia="Century Gothic" w:hAnsi="Century Gothic" w:cs="Century Gothic"/>
          <w:b/>
          <w:bCs/>
          <w:i/>
          <w:iCs/>
          <w:color w:val="000000"/>
          <w:sz w:val="18"/>
          <w:szCs w:val="18"/>
          <w:lang w:val="es-ES"/>
        </w:rPr>
        <w:t>TaxDown</w:t>
      </w:r>
      <w:proofErr w:type="spellEnd"/>
    </w:p>
    <w:p w14:paraId="472DAB93" w14:textId="77777777" w:rsidR="00D3684E" w:rsidRPr="00D3684E" w:rsidRDefault="00D3684E" w:rsidP="00D3684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3E1C093C" w14:textId="77777777" w:rsidR="00D3684E" w:rsidRPr="00D3684E" w:rsidRDefault="00D3684E" w:rsidP="00D3684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roofErr w:type="spellStart"/>
      <w:r w:rsidRPr="00D3684E">
        <w:rPr>
          <w:rFonts w:ascii="Century Gothic" w:eastAsia="Century Gothic" w:hAnsi="Century Gothic" w:cs="Century Gothic"/>
          <w:i/>
          <w:iCs/>
          <w:color w:val="000000"/>
          <w:sz w:val="18"/>
          <w:szCs w:val="18"/>
          <w:lang w:val="es-ES"/>
        </w:rPr>
        <w:t>TaxDown</w:t>
      </w:r>
      <w:proofErr w:type="spellEnd"/>
      <w:r w:rsidRPr="00D3684E">
        <w:rPr>
          <w:rFonts w:ascii="Century Gothic" w:eastAsia="Century Gothic" w:hAnsi="Century Gothic" w:cs="Century Gothic"/>
          <w:i/>
          <w:iCs/>
          <w:color w:val="000000"/>
          <w:sz w:val="18"/>
          <w:szCs w:val="18"/>
          <w:lang w:val="es-ES"/>
        </w:rPr>
        <w:t xml:space="preserve"> es una compañía española que ha revolucionado la asesoría fiscal, poniendo en el mercado un servicio digital pionero que permite realizar la declaración de la renta, de forma sencilla, y garantizando al contribuyente el mejor resultado.  Además, </w:t>
      </w:r>
      <w:proofErr w:type="spellStart"/>
      <w:r w:rsidRPr="00D3684E">
        <w:rPr>
          <w:rFonts w:ascii="Century Gothic" w:eastAsia="Century Gothic" w:hAnsi="Century Gothic" w:cs="Century Gothic"/>
          <w:i/>
          <w:iCs/>
          <w:color w:val="000000"/>
          <w:sz w:val="18"/>
          <w:szCs w:val="18"/>
          <w:lang w:val="es-ES"/>
        </w:rPr>
        <w:t>TaxDown</w:t>
      </w:r>
      <w:proofErr w:type="spellEnd"/>
      <w:r w:rsidRPr="00D3684E">
        <w:rPr>
          <w:rFonts w:ascii="Century Gothic" w:eastAsia="Century Gothic" w:hAnsi="Century Gothic" w:cs="Century Gothic"/>
          <w:i/>
          <w:iCs/>
          <w:color w:val="000000"/>
          <w:sz w:val="18"/>
          <w:szCs w:val="18"/>
          <w:lang w:val="es-ES"/>
        </w:rPr>
        <w:t xml:space="preserve"> ha ampliado hace poco su oferta para incluir un gran abanico de trámites fiscales para ayudar a sus clientes en todas las etapas de su vida y reducir así la burocracia de la Administración Pública.</w:t>
      </w:r>
    </w:p>
    <w:p w14:paraId="549B0CAD" w14:textId="77777777" w:rsidR="00D3684E" w:rsidRPr="00D3684E" w:rsidRDefault="00D3684E" w:rsidP="00D3684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D3684E">
        <w:rPr>
          <w:rFonts w:ascii="Century Gothic" w:eastAsia="Century Gothic" w:hAnsi="Century Gothic" w:cs="Century Gothic"/>
          <w:i/>
          <w:iCs/>
          <w:color w:val="000000"/>
          <w:sz w:val="18"/>
          <w:szCs w:val="18"/>
          <w:lang w:val="es-ES"/>
        </w:rPr>
        <w:t> </w:t>
      </w:r>
    </w:p>
    <w:p w14:paraId="5B42266F" w14:textId="77777777" w:rsidR="00D3684E" w:rsidRPr="00D3684E" w:rsidRDefault="00D3684E" w:rsidP="00D3684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roofErr w:type="spellStart"/>
      <w:r w:rsidRPr="00D3684E">
        <w:rPr>
          <w:rFonts w:ascii="Century Gothic" w:eastAsia="Century Gothic" w:hAnsi="Century Gothic" w:cs="Century Gothic"/>
          <w:i/>
          <w:iCs/>
          <w:color w:val="000000"/>
          <w:sz w:val="18"/>
          <w:szCs w:val="18"/>
          <w:lang w:val="es-ES"/>
        </w:rPr>
        <w:t>TaxDown</w:t>
      </w:r>
      <w:proofErr w:type="spellEnd"/>
      <w:r w:rsidRPr="00D3684E">
        <w:rPr>
          <w:rFonts w:ascii="Century Gothic" w:eastAsia="Century Gothic" w:hAnsi="Century Gothic" w:cs="Century Gothic"/>
          <w:i/>
          <w:iCs/>
          <w:color w:val="000000"/>
          <w:sz w:val="18"/>
          <w:szCs w:val="18"/>
          <w:lang w:val="es-ES"/>
        </w:rPr>
        <w:t xml:space="preserve"> presenta cientos de miles de declaraciones bien hechas cada año a través de su propia plataforma y ahorra así cientos de millones de euros a los contribuyentes. Además, es colaborador social de la Agencia Tributaria.</w:t>
      </w:r>
    </w:p>
    <w:p w14:paraId="2ED4618B" w14:textId="77777777" w:rsidR="00D3684E"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2C89BAF6" w14:textId="77777777" w:rsidR="00D3684E" w:rsidRPr="00833D4F"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34EBC2CB"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0E87855" w14:textId="77777777">
        <w:trPr>
          <w:trHeight w:val="1725"/>
        </w:trPr>
        <w:tc>
          <w:tcPr>
            <w:tcW w:w="5103" w:type="dxa"/>
            <w:tcMar>
              <w:top w:w="0" w:type="dxa"/>
              <w:left w:w="108" w:type="dxa"/>
              <w:bottom w:w="0" w:type="dxa"/>
              <w:right w:w="108" w:type="dxa"/>
            </w:tcMar>
          </w:tcPr>
          <w:p w14:paraId="539CB8FE" w14:textId="77777777" w:rsidR="0034131E" w:rsidRDefault="0034131E">
            <w:pPr>
              <w:jc w:val="both"/>
              <w:rPr>
                <w:rFonts w:ascii="Century Gothic" w:eastAsia="Century Gothic" w:hAnsi="Century Gothic" w:cs="Century Gothic"/>
                <w:b/>
                <w:color w:val="000000"/>
                <w:sz w:val="16"/>
                <w:szCs w:val="16"/>
              </w:rPr>
            </w:pPr>
          </w:p>
          <w:p w14:paraId="3E71BA8C"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2C0E5145"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3C5097B0"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7AD809AF" w14:textId="77777777" w:rsidR="0034131E" w:rsidRDefault="0034131E">
            <w:pPr>
              <w:jc w:val="both"/>
            </w:pPr>
            <w:hyperlink r:id="rId10">
              <w:r>
                <w:rPr>
                  <w:rFonts w:ascii="Century Gothic" w:eastAsia="Century Gothic" w:hAnsi="Century Gothic" w:cs="Century Gothic"/>
                  <w:color w:val="000000"/>
                  <w:sz w:val="16"/>
                  <w:szCs w:val="16"/>
                </w:rPr>
                <w:t>alejandro.delgadosanchez@edenred.com</w:t>
              </w:r>
            </w:hyperlink>
          </w:p>
          <w:p w14:paraId="4CF87B1B"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73979073" w14:textId="77777777" w:rsidR="0034131E" w:rsidRDefault="0034131E">
            <w:pPr>
              <w:spacing w:line="251" w:lineRule="auto"/>
              <w:rPr>
                <w:rFonts w:ascii="Century Gothic" w:eastAsia="Century Gothic" w:hAnsi="Century Gothic" w:cs="Century Gothic"/>
                <w:b/>
                <w:color w:val="000000"/>
                <w:sz w:val="16"/>
                <w:szCs w:val="16"/>
              </w:rPr>
            </w:pPr>
          </w:p>
          <w:p w14:paraId="188D7D39"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0709A77C"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Marina Gascón | Patricia Vizcaíno | Sara García</w:t>
            </w:r>
          </w:p>
          <w:p w14:paraId="186B073B"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5D012B56" w14:textId="77777777" w:rsidR="0034131E" w:rsidRDefault="0034131E">
            <w:pPr>
              <w:spacing w:line="251" w:lineRule="auto"/>
            </w:pPr>
            <w:hyperlink r:id="rId11">
              <w:r>
                <w:rPr>
                  <w:rFonts w:ascii="Century Gothic" w:eastAsia="Century Gothic" w:hAnsi="Century Gothic" w:cs="Century Gothic"/>
                  <w:color w:val="000000"/>
                  <w:sz w:val="16"/>
                  <w:szCs w:val="16"/>
                </w:rPr>
                <w:t>equipo.edenred@newlink-group.com</w:t>
              </w:r>
            </w:hyperlink>
          </w:p>
        </w:tc>
      </w:tr>
    </w:tbl>
    <w:p w14:paraId="71CD1086" w14:textId="77777777" w:rsidR="0034131E" w:rsidRDefault="0034131E">
      <w:pPr>
        <w:ind w:left="141"/>
        <w:rPr>
          <w:color w:val="002060"/>
        </w:rPr>
      </w:pPr>
    </w:p>
    <w:tbl>
      <w:tblPr>
        <w:tblStyle w:val="a"/>
        <w:tblW w:w="5103" w:type="dxa"/>
        <w:tblInd w:w="0" w:type="dxa"/>
        <w:tblLayout w:type="fixed"/>
        <w:tblLook w:val="0000" w:firstRow="0" w:lastRow="0" w:firstColumn="0" w:lastColumn="0" w:noHBand="0" w:noVBand="0"/>
      </w:tblPr>
      <w:tblGrid>
        <w:gridCol w:w="5103"/>
      </w:tblGrid>
      <w:tr w:rsidR="00512CC2" w14:paraId="661E8120" w14:textId="77777777" w:rsidTr="00512CC2">
        <w:trPr>
          <w:trHeight w:val="1725"/>
        </w:trPr>
        <w:tc>
          <w:tcPr>
            <w:tcW w:w="5103" w:type="dxa"/>
            <w:tcMar>
              <w:top w:w="0" w:type="dxa"/>
              <w:left w:w="108" w:type="dxa"/>
              <w:bottom w:w="0" w:type="dxa"/>
              <w:right w:w="108" w:type="dxa"/>
            </w:tcMar>
          </w:tcPr>
          <w:p w14:paraId="4097A5A2" w14:textId="77777777" w:rsidR="00512CC2" w:rsidRPr="004B61F9" w:rsidRDefault="00512CC2" w:rsidP="00AE62F1">
            <w:pPr>
              <w:jc w:val="both"/>
              <w:rPr>
                <w:rFonts w:ascii="Century Gothic" w:eastAsia="Century Gothic" w:hAnsi="Century Gothic" w:cs="Century Gothic"/>
                <w:b/>
                <w:color w:val="000000"/>
                <w:sz w:val="16"/>
                <w:szCs w:val="16"/>
                <w:lang w:val="es-ES"/>
              </w:rPr>
            </w:pPr>
          </w:p>
          <w:p w14:paraId="14BA01BC" w14:textId="7CAB66BF" w:rsidR="00512CC2" w:rsidRPr="004B61F9" w:rsidRDefault="00512CC2" w:rsidP="00AE62F1">
            <w:pPr>
              <w:jc w:val="both"/>
              <w:rPr>
                <w:rFonts w:ascii="Century Gothic" w:eastAsia="Century Gothic" w:hAnsi="Century Gothic" w:cs="Century Gothic"/>
                <w:b/>
                <w:color w:val="000000"/>
                <w:sz w:val="16"/>
                <w:szCs w:val="16"/>
                <w:lang w:val="es-ES"/>
              </w:rPr>
            </w:pPr>
            <w:r w:rsidRPr="004B61F9">
              <w:rPr>
                <w:rFonts w:ascii="Century Gothic" w:eastAsia="Century Gothic" w:hAnsi="Century Gothic" w:cs="Century Gothic"/>
                <w:b/>
                <w:color w:val="000000"/>
                <w:sz w:val="16"/>
                <w:szCs w:val="16"/>
                <w:lang w:val="es-ES"/>
              </w:rPr>
              <w:t>TaxDown</w:t>
            </w:r>
          </w:p>
          <w:p w14:paraId="4B5D29D0" w14:textId="77777777" w:rsidR="00512CC2" w:rsidRPr="00512CC2" w:rsidRDefault="00512CC2" w:rsidP="00512CC2">
            <w:pPr>
              <w:jc w:val="both"/>
              <w:rPr>
                <w:rFonts w:ascii="Century Gothic" w:eastAsia="Century Gothic" w:hAnsi="Century Gothic" w:cs="Century Gothic"/>
                <w:color w:val="000000"/>
                <w:sz w:val="16"/>
                <w:szCs w:val="16"/>
                <w:lang w:val="es-ES"/>
              </w:rPr>
            </w:pPr>
            <w:r w:rsidRPr="00512CC2">
              <w:rPr>
                <w:rFonts w:ascii="Century Gothic" w:eastAsia="Century Gothic" w:hAnsi="Century Gothic" w:cs="Century Gothic"/>
                <w:color w:val="000000"/>
                <w:sz w:val="16"/>
                <w:szCs w:val="16"/>
                <w:lang w:val="es-ES"/>
              </w:rPr>
              <w:t>Esther Maroto</w:t>
            </w:r>
          </w:p>
          <w:p w14:paraId="5019E48E" w14:textId="77777777" w:rsidR="00512CC2" w:rsidRPr="00512CC2" w:rsidRDefault="00512CC2" w:rsidP="00512CC2">
            <w:pPr>
              <w:jc w:val="both"/>
              <w:rPr>
                <w:rFonts w:ascii="Century Gothic" w:eastAsia="Century Gothic" w:hAnsi="Century Gothic" w:cs="Century Gothic"/>
                <w:color w:val="000000"/>
                <w:sz w:val="16"/>
                <w:szCs w:val="16"/>
                <w:lang w:val="es-ES"/>
              </w:rPr>
            </w:pPr>
            <w:r w:rsidRPr="00512CC2">
              <w:rPr>
                <w:rFonts w:ascii="Century Gothic" w:eastAsia="Century Gothic" w:hAnsi="Century Gothic" w:cs="Century Gothic"/>
                <w:color w:val="000000"/>
                <w:sz w:val="16"/>
                <w:szCs w:val="16"/>
                <w:lang w:val="es-ES"/>
              </w:rPr>
              <w:t>Responsable de Comunicación y Relaciones Institucionales</w:t>
            </w:r>
          </w:p>
          <w:p w14:paraId="0C620D2E" w14:textId="77777777" w:rsidR="00512CC2" w:rsidRPr="00512CC2" w:rsidRDefault="00512CC2" w:rsidP="00512CC2">
            <w:pPr>
              <w:jc w:val="both"/>
              <w:rPr>
                <w:rFonts w:ascii="Century Gothic" w:eastAsia="Century Gothic" w:hAnsi="Century Gothic" w:cs="Century Gothic"/>
                <w:color w:val="000000"/>
                <w:sz w:val="16"/>
                <w:szCs w:val="16"/>
                <w:lang w:val="es-ES"/>
              </w:rPr>
            </w:pPr>
            <w:hyperlink r:id="rId12" w:history="1">
              <w:r w:rsidRPr="00512CC2">
                <w:rPr>
                  <w:rStyle w:val="Hipervnculo"/>
                  <w:rFonts w:ascii="Century Gothic" w:eastAsia="Century Gothic" w:hAnsi="Century Gothic" w:cs="Century Gothic"/>
                  <w:sz w:val="16"/>
                  <w:szCs w:val="16"/>
                  <w:lang w:val="es-ES"/>
                </w:rPr>
                <w:t>esther@taxdown.es</w:t>
              </w:r>
            </w:hyperlink>
          </w:p>
          <w:p w14:paraId="28A05F46" w14:textId="77777777" w:rsidR="00512CC2" w:rsidRPr="00512CC2" w:rsidRDefault="00512CC2" w:rsidP="00512CC2">
            <w:pPr>
              <w:jc w:val="both"/>
              <w:rPr>
                <w:rFonts w:ascii="Century Gothic" w:eastAsia="Century Gothic" w:hAnsi="Century Gothic" w:cs="Century Gothic"/>
                <w:color w:val="000000"/>
                <w:sz w:val="16"/>
                <w:szCs w:val="16"/>
                <w:lang w:val="es-ES"/>
              </w:rPr>
            </w:pPr>
            <w:r w:rsidRPr="00512CC2">
              <w:rPr>
                <w:rFonts w:ascii="Century Gothic" w:eastAsia="Century Gothic" w:hAnsi="Century Gothic" w:cs="Century Gothic"/>
                <w:color w:val="000000"/>
                <w:sz w:val="16"/>
                <w:szCs w:val="16"/>
                <w:lang w:val="es-ES"/>
              </w:rPr>
              <w:t>+34 678 341 700</w:t>
            </w:r>
          </w:p>
          <w:p w14:paraId="0C27C59C" w14:textId="77777777" w:rsidR="00512CC2" w:rsidRDefault="00512CC2" w:rsidP="00AE62F1">
            <w:pPr>
              <w:spacing w:line="251" w:lineRule="auto"/>
              <w:rPr>
                <w:rFonts w:ascii="Century Gothic" w:eastAsia="Century Gothic" w:hAnsi="Century Gothic" w:cs="Century Gothic"/>
                <w:b/>
                <w:color w:val="000000"/>
                <w:sz w:val="16"/>
                <w:szCs w:val="16"/>
              </w:rPr>
            </w:pPr>
          </w:p>
        </w:tc>
      </w:tr>
    </w:tbl>
    <w:p w14:paraId="62FFDE23" w14:textId="77777777" w:rsidR="0034131E" w:rsidRDefault="0034131E">
      <w:pPr>
        <w:tabs>
          <w:tab w:val="left" w:pos="2760"/>
        </w:tabs>
      </w:pPr>
    </w:p>
    <w:p w14:paraId="602772FB" w14:textId="77777777" w:rsidR="0005776A" w:rsidRPr="0005776A" w:rsidRDefault="0005776A" w:rsidP="0005776A">
      <w:pPr>
        <w:tabs>
          <w:tab w:val="left" w:pos="2760"/>
        </w:tabs>
        <w:rPr>
          <w:rFonts w:ascii="Century Gothic" w:hAnsi="Century Gothic"/>
          <w:b/>
          <w:bCs/>
          <w:color w:val="auto"/>
          <w:sz w:val="24"/>
          <w:szCs w:val="24"/>
          <w:lang w:val="es-ES"/>
        </w:rPr>
      </w:pPr>
      <w:r w:rsidRPr="0005776A">
        <w:rPr>
          <w:rFonts w:ascii="Century Gothic" w:hAnsi="Century Gothic"/>
          <w:b/>
          <w:bCs/>
          <w:color w:val="auto"/>
          <w:sz w:val="24"/>
          <w:szCs w:val="24"/>
          <w:lang w:val="es-ES"/>
        </w:rPr>
        <w:t>PUBLICACIONES RELACIONADAS</w:t>
      </w:r>
    </w:p>
    <w:p w14:paraId="6472DE06" w14:textId="77777777" w:rsidR="0005776A" w:rsidRPr="0005776A" w:rsidRDefault="0005776A" w:rsidP="0005776A">
      <w:pPr>
        <w:tabs>
          <w:tab w:val="left" w:pos="2760"/>
        </w:tabs>
        <w:rPr>
          <w:rFonts w:ascii="Century Gothic" w:hAnsi="Century Gothic"/>
          <w:color w:val="auto"/>
          <w:lang w:val="es-ES"/>
        </w:rPr>
      </w:pPr>
    </w:p>
    <w:p w14:paraId="25BC7A07" w14:textId="77777777" w:rsidR="0005776A" w:rsidRPr="006D40B0" w:rsidRDefault="0005776A" w:rsidP="0005776A">
      <w:pPr>
        <w:tabs>
          <w:tab w:val="left" w:pos="2760"/>
        </w:tabs>
        <w:rPr>
          <w:rFonts w:ascii="Century Gothic" w:hAnsi="Century Gothic"/>
          <w:color w:val="auto"/>
          <w:lang w:val="es-ES"/>
        </w:rPr>
      </w:pPr>
      <w:r w:rsidRPr="006D40B0">
        <w:rPr>
          <w:rFonts w:ascii="Century Gothic" w:hAnsi="Century Gothic"/>
          <w:color w:val="auto"/>
          <w:lang w:val="es-ES"/>
        </w:rPr>
        <w:t>Si deseas ampliar información sobre este comunicado, puedes consultar las siguientes publicaciones:</w:t>
      </w:r>
    </w:p>
    <w:p w14:paraId="4AA21CF5" w14:textId="77777777" w:rsidR="0005776A" w:rsidRPr="006D40B0" w:rsidRDefault="0005776A" w:rsidP="0005776A">
      <w:pPr>
        <w:tabs>
          <w:tab w:val="left" w:pos="2760"/>
        </w:tabs>
        <w:rPr>
          <w:rFonts w:ascii="Century Gothic" w:hAnsi="Century Gothic"/>
          <w:color w:val="auto"/>
          <w:lang w:val="es-ES"/>
        </w:rPr>
      </w:pPr>
    </w:p>
    <w:p w14:paraId="483DC89B" w14:textId="1DB8778E" w:rsidR="0005776A" w:rsidRPr="00951F79" w:rsidRDefault="00847424" w:rsidP="0005776A">
      <w:pPr>
        <w:numPr>
          <w:ilvl w:val="0"/>
          <w:numId w:val="14"/>
        </w:numPr>
        <w:tabs>
          <w:tab w:val="left" w:pos="2760"/>
        </w:tabs>
        <w:rPr>
          <w:rFonts w:ascii="Century Gothic" w:hAnsi="Century Gothic"/>
          <w:color w:val="auto"/>
          <w:lang w:val="es-ES"/>
        </w:rPr>
      </w:pPr>
      <w:r w:rsidRPr="00951F79">
        <w:rPr>
          <w:rFonts w:ascii="Century Gothic" w:hAnsi="Century Gothic"/>
          <w:b/>
          <w:bCs/>
          <w:color w:val="auto"/>
          <w:lang w:val="es-ES"/>
        </w:rPr>
        <w:t xml:space="preserve">El Confidencial Digital: </w:t>
      </w:r>
      <w:hyperlink r:id="rId13" w:history="1">
        <w:r w:rsidR="00400138" w:rsidRPr="00951F79">
          <w:rPr>
            <w:rStyle w:val="Hipervnculo"/>
            <w:rFonts w:ascii="Century Gothic" w:hAnsi="Century Gothic"/>
            <w:lang w:val="es-ES"/>
          </w:rPr>
          <w:t>Siete de cada diez trabajadores no reciben formación financiera en sus empresas</w:t>
        </w:r>
      </w:hyperlink>
    </w:p>
    <w:p w14:paraId="29E5C3A6" w14:textId="77777777" w:rsidR="00400138" w:rsidRPr="00951F79" w:rsidRDefault="00400138" w:rsidP="00400138">
      <w:pPr>
        <w:tabs>
          <w:tab w:val="left" w:pos="2760"/>
        </w:tabs>
        <w:ind w:left="1068"/>
        <w:rPr>
          <w:rFonts w:ascii="Century Gothic" w:hAnsi="Century Gothic"/>
          <w:color w:val="auto"/>
          <w:lang w:val="es-ES"/>
        </w:rPr>
      </w:pPr>
    </w:p>
    <w:p w14:paraId="40DDCCDA" w14:textId="6686562D" w:rsidR="008C1AE7" w:rsidRPr="00951F79" w:rsidRDefault="00BF72F0" w:rsidP="0005776A">
      <w:pPr>
        <w:pStyle w:val="Prrafodelista"/>
        <w:numPr>
          <w:ilvl w:val="0"/>
          <w:numId w:val="14"/>
        </w:numPr>
        <w:suppressAutoHyphens w:val="0"/>
        <w:spacing w:line="240" w:lineRule="auto"/>
        <w:contextualSpacing w:val="0"/>
        <w:rPr>
          <w:rFonts w:ascii="Century Gothic" w:hAnsi="Century Gothic"/>
          <w:color w:val="0000FF"/>
          <w:u w:val="single"/>
          <w:lang w:val="es-ES" w:eastAsia="zh-TW"/>
        </w:rPr>
      </w:pPr>
      <w:r w:rsidRPr="00951F79">
        <w:rPr>
          <w:rFonts w:ascii="Century Gothic" w:hAnsi="Century Gothic" w:cs="Calibri"/>
          <w:b/>
          <w:bCs/>
          <w:color w:val="000000"/>
          <w:lang w:val="es-ES"/>
        </w:rPr>
        <w:t>El Obrero:</w:t>
      </w:r>
      <w:r w:rsidR="0005776A" w:rsidRPr="00951F79">
        <w:rPr>
          <w:rFonts w:ascii="Century Gothic" w:hAnsi="Century Gothic" w:cs="Calibri"/>
          <w:color w:val="000000"/>
          <w:lang w:val="es-ES"/>
        </w:rPr>
        <w:t xml:space="preserve"> </w:t>
      </w:r>
      <w:hyperlink r:id="rId14" w:history="1">
        <w:hyperlink r:id="rId15" w:history="1">
          <w:r w:rsidRPr="00951F79">
            <w:rPr>
              <w:rStyle w:val="Hipervnculo"/>
              <w:rFonts w:ascii="Century Gothic" w:hAnsi="Century Gothic" w:cs="Calibri"/>
              <w:lang w:val="es-ES"/>
            </w:rPr>
            <w:t>Últimos días para la Renta: un 70% de los españoles la afrontan con total desconocimiento financiero.</w:t>
          </w:r>
        </w:hyperlink>
        <w:r w:rsidRPr="00951F79">
          <w:rPr>
            <w:rStyle w:val="Hipervnculo"/>
            <w:rFonts w:ascii="Century Gothic" w:hAnsi="Century Gothic" w:cs="Calibri"/>
            <w:lang w:val="es-ES"/>
          </w:rPr>
          <w:t xml:space="preserve"> </w:t>
        </w:r>
      </w:hyperlink>
    </w:p>
    <w:p w14:paraId="1808ADED" w14:textId="77777777" w:rsidR="008C1AE7" w:rsidRPr="00951F79" w:rsidRDefault="008C1AE7" w:rsidP="008C1AE7">
      <w:pPr>
        <w:pStyle w:val="Prrafodelista"/>
        <w:rPr>
          <w:rFonts w:ascii="Century Gothic" w:hAnsi="Century Gothic"/>
          <w:lang w:val="es-ES"/>
        </w:rPr>
      </w:pPr>
    </w:p>
    <w:p w14:paraId="0545C7D7" w14:textId="3C2A7E27" w:rsidR="0005776A" w:rsidRPr="00951F79" w:rsidRDefault="008C1AE7" w:rsidP="0005776A">
      <w:pPr>
        <w:pStyle w:val="Prrafodelista"/>
        <w:numPr>
          <w:ilvl w:val="0"/>
          <w:numId w:val="14"/>
        </w:numPr>
        <w:suppressAutoHyphens w:val="0"/>
        <w:spacing w:line="240" w:lineRule="auto"/>
        <w:contextualSpacing w:val="0"/>
        <w:rPr>
          <w:rFonts w:ascii="Century Gothic" w:hAnsi="Century Gothic"/>
          <w:color w:val="0000FF"/>
          <w:u w:val="single"/>
          <w:lang w:val="es-ES" w:eastAsia="zh-TW"/>
        </w:rPr>
      </w:pPr>
      <w:r w:rsidRPr="00951F79">
        <w:rPr>
          <w:rFonts w:ascii="Century Gothic" w:hAnsi="Century Gothic" w:cs="Calibri"/>
          <w:b/>
          <w:bCs/>
          <w:color w:val="000000"/>
          <w:lang w:val="es-ES"/>
        </w:rPr>
        <w:t>Capital:</w:t>
      </w:r>
      <w:r w:rsidR="00BF72F0" w:rsidRPr="00951F79">
        <w:rPr>
          <w:rFonts w:ascii="Century Gothic" w:hAnsi="Century Gothic"/>
          <w:lang w:val="es-ES"/>
        </w:rPr>
        <w:t xml:space="preserve"> </w:t>
      </w:r>
      <w:hyperlink r:id="rId16" w:history="1">
        <w:r w:rsidR="002356BF" w:rsidRPr="00951F79">
          <w:rPr>
            <w:rStyle w:val="Hipervnculo"/>
            <w:rFonts w:ascii="Century Gothic" w:hAnsi="Century Gothic" w:cs="Calibri"/>
            <w:lang w:val="es-ES"/>
          </w:rPr>
          <w:t>Más del 70% de los profesionales no recibe educación financiera.</w:t>
        </w:r>
      </w:hyperlink>
    </w:p>
    <w:p w14:paraId="3166D3C5" w14:textId="77777777" w:rsidR="0005776A" w:rsidRPr="0005776A" w:rsidRDefault="0005776A">
      <w:pPr>
        <w:tabs>
          <w:tab w:val="left" w:pos="2760"/>
        </w:tabs>
        <w:rPr>
          <w:lang w:val="es-ES"/>
        </w:rPr>
      </w:pPr>
    </w:p>
    <w:sectPr w:rsidR="0005776A" w:rsidRPr="0005776A">
      <w:footerReference w:type="default" r:id="rId1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7DF7C" w14:textId="77777777" w:rsidR="00FC46DD" w:rsidRDefault="00FC46DD">
      <w:pPr>
        <w:spacing w:line="240" w:lineRule="auto"/>
      </w:pPr>
      <w:r>
        <w:separator/>
      </w:r>
    </w:p>
  </w:endnote>
  <w:endnote w:type="continuationSeparator" w:id="0">
    <w:p w14:paraId="1282246F" w14:textId="77777777" w:rsidR="00FC46DD" w:rsidRDefault="00FC4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DF64533F-BC32-4F46-8CD1-4B80F9BEBB6B}"/>
    <w:embedBold r:id="rId2" w:fontKey="{594E77CB-147E-4233-8BB8-F8330B05171D}"/>
    <w:embedItalic r:id="rId3" w:fontKey="{E7D9EF4C-3BE6-4AEA-8EBF-5EEBC2096538}"/>
    <w:embedBoldItalic r:id="rId4" w:fontKey="{AB749602-5311-415C-9CDD-715359AE1730}"/>
  </w:font>
  <w:font w:name="Tahoma">
    <w:panose1 w:val="020B0604030504040204"/>
    <w:charset w:val="00"/>
    <w:family w:val="swiss"/>
    <w:pitch w:val="variable"/>
    <w:sig w:usb0="E1002EFF" w:usb1="C000605B" w:usb2="00000029" w:usb3="00000000" w:csb0="000101FF" w:csb1="00000000"/>
    <w:embedRegular r:id="rId5" w:fontKey="{F15CC180-9908-4D98-B498-051CF23F24E1}"/>
  </w:font>
  <w:font w:name="Calibri">
    <w:panose1 w:val="020F0502020204030204"/>
    <w:charset w:val="00"/>
    <w:family w:val="swiss"/>
    <w:pitch w:val="variable"/>
    <w:sig w:usb0="E4002EFF" w:usb1="C200247B" w:usb2="00000009" w:usb3="00000000" w:csb0="000001FF" w:csb1="00000000"/>
    <w:embedRegular r:id="rId6" w:fontKey="{65177CBC-1D4C-489D-9872-B869F60CB182}"/>
    <w:embedBold r:id="rId7" w:fontKey="{E2BDECD3-7831-4DF7-BD74-128AE71614C8}"/>
  </w:font>
  <w:font w:name="Georgia">
    <w:panose1 w:val="02040502050405020303"/>
    <w:charset w:val="00"/>
    <w:family w:val="roman"/>
    <w:pitch w:val="variable"/>
    <w:sig w:usb0="00000287" w:usb1="00000000" w:usb2="00000000" w:usb3="00000000" w:csb0="0000009F" w:csb1="00000000"/>
    <w:embedRegular r:id="rId8" w:fontKey="{6BA2372A-9F39-471D-B16F-018765072270}"/>
    <w:embedItalic r:id="rId9" w:fontKey="{817E34B1-BFCD-4B86-AFD5-F855765AFF28}"/>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10" w:fontKey="{DD5F70D3-D666-48F9-85E4-FCF30F34118A}"/>
  </w:font>
  <w:font w:name="Aptos">
    <w:charset w:val="00"/>
    <w:family w:val="swiss"/>
    <w:pitch w:val="variable"/>
    <w:sig w:usb0="20000287" w:usb1="00000003" w:usb2="00000000" w:usb3="00000000" w:csb0="0000019F" w:csb1="00000000"/>
    <w:embedRegular r:id="rId11" w:fontKey="{1E48C305-4F5D-425A-A25F-8114C16FF1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5193"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3B5CB540" wp14:editId="6EA21FCE">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F1B9" w14:textId="77777777" w:rsidR="00FC46DD" w:rsidRDefault="00FC46DD">
      <w:pPr>
        <w:spacing w:line="240" w:lineRule="auto"/>
      </w:pPr>
      <w:r>
        <w:separator/>
      </w:r>
    </w:p>
  </w:footnote>
  <w:footnote w:type="continuationSeparator" w:id="0">
    <w:p w14:paraId="1084FBB5" w14:textId="77777777" w:rsidR="00FC46DD" w:rsidRDefault="00FC46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44AC5"/>
    <w:multiLevelType w:val="multilevel"/>
    <w:tmpl w:val="640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352C24"/>
    <w:multiLevelType w:val="multilevel"/>
    <w:tmpl w:val="30F4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B5FD5"/>
    <w:multiLevelType w:val="multilevel"/>
    <w:tmpl w:val="8FE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354B56"/>
    <w:multiLevelType w:val="hybridMultilevel"/>
    <w:tmpl w:val="C8A046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64B1BCF"/>
    <w:multiLevelType w:val="hybridMultilevel"/>
    <w:tmpl w:val="2F66B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89529C"/>
    <w:multiLevelType w:val="hybridMultilevel"/>
    <w:tmpl w:val="D3C263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40B21CF7"/>
    <w:multiLevelType w:val="multilevel"/>
    <w:tmpl w:val="E9B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52E3A"/>
    <w:multiLevelType w:val="hybridMultilevel"/>
    <w:tmpl w:val="D228D1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576F7F25"/>
    <w:multiLevelType w:val="multilevel"/>
    <w:tmpl w:val="21A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2" w15:restartNumberingAfterBreak="0">
    <w:nsid w:val="73CB07B8"/>
    <w:multiLevelType w:val="multilevel"/>
    <w:tmpl w:val="B70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246018">
    <w:abstractNumId w:val="4"/>
  </w:num>
  <w:num w:numId="2" w16cid:durableId="620915189">
    <w:abstractNumId w:val="1"/>
  </w:num>
  <w:num w:numId="3" w16cid:durableId="950282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698190">
    <w:abstractNumId w:val="0"/>
  </w:num>
  <w:num w:numId="5" w16cid:durableId="1620795933">
    <w:abstractNumId w:val="8"/>
  </w:num>
  <w:num w:numId="6" w16cid:durableId="615062920">
    <w:abstractNumId w:val="10"/>
  </w:num>
  <w:num w:numId="7" w16cid:durableId="1644777061">
    <w:abstractNumId w:val="7"/>
  </w:num>
  <w:num w:numId="8" w16cid:durableId="948393040">
    <w:abstractNumId w:val="6"/>
  </w:num>
  <w:num w:numId="9" w16cid:durableId="1445342659">
    <w:abstractNumId w:val="9"/>
  </w:num>
  <w:num w:numId="10" w16cid:durableId="1104036525">
    <w:abstractNumId w:val="3"/>
  </w:num>
  <w:num w:numId="11" w16cid:durableId="645665303">
    <w:abstractNumId w:val="5"/>
  </w:num>
  <w:num w:numId="12" w16cid:durableId="739714433">
    <w:abstractNumId w:val="12"/>
  </w:num>
  <w:num w:numId="13" w16cid:durableId="666831364">
    <w:abstractNumId w:val="2"/>
  </w:num>
  <w:num w:numId="14" w16cid:durableId="5289570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02CFA"/>
    <w:rsid w:val="00004122"/>
    <w:rsid w:val="000068E3"/>
    <w:rsid w:val="00007D70"/>
    <w:rsid w:val="00011EFF"/>
    <w:rsid w:val="00013A30"/>
    <w:rsid w:val="00021F2B"/>
    <w:rsid w:val="00022255"/>
    <w:rsid w:val="00025F65"/>
    <w:rsid w:val="00026093"/>
    <w:rsid w:val="00026B5B"/>
    <w:rsid w:val="00026E3C"/>
    <w:rsid w:val="000279E7"/>
    <w:rsid w:val="000323C6"/>
    <w:rsid w:val="000326C2"/>
    <w:rsid w:val="00032F52"/>
    <w:rsid w:val="00035309"/>
    <w:rsid w:val="0003750C"/>
    <w:rsid w:val="00041721"/>
    <w:rsid w:val="000417DA"/>
    <w:rsid w:val="0004474C"/>
    <w:rsid w:val="00044A95"/>
    <w:rsid w:val="00044DD4"/>
    <w:rsid w:val="000500F1"/>
    <w:rsid w:val="000512F0"/>
    <w:rsid w:val="00053526"/>
    <w:rsid w:val="0005490B"/>
    <w:rsid w:val="00054F03"/>
    <w:rsid w:val="0005776A"/>
    <w:rsid w:val="00063563"/>
    <w:rsid w:val="00063694"/>
    <w:rsid w:val="00071659"/>
    <w:rsid w:val="0007216B"/>
    <w:rsid w:val="00072CD0"/>
    <w:rsid w:val="000806C9"/>
    <w:rsid w:val="000873EB"/>
    <w:rsid w:val="00087D4A"/>
    <w:rsid w:val="000909E3"/>
    <w:rsid w:val="00092205"/>
    <w:rsid w:val="000960A1"/>
    <w:rsid w:val="000A4CBF"/>
    <w:rsid w:val="000A4CC7"/>
    <w:rsid w:val="000A6E3C"/>
    <w:rsid w:val="000A736E"/>
    <w:rsid w:val="000B15B7"/>
    <w:rsid w:val="000B15CF"/>
    <w:rsid w:val="000B1F8B"/>
    <w:rsid w:val="000B6647"/>
    <w:rsid w:val="000D11DA"/>
    <w:rsid w:val="000D608E"/>
    <w:rsid w:val="000E5BEA"/>
    <w:rsid w:val="000F196E"/>
    <w:rsid w:val="000F4162"/>
    <w:rsid w:val="000F62E7"/>
    <w:rsid w:val="000F7F7F"/>
    <w:rsid w:val="00102757"/>
    <w:rsid w:val="00102E83"/>
    <w:rsid w:val="00103781"/>
    <w:rsid w:val="00106125"/>
    <w:rsid w:val="00121CF0"/>
    <w:rsid w:val="00124824"/>
    <w:rsid w:val="00125440"/>
    <w:rsid w:val="00125656"/>
    <w:rsid w:val="0013109D"/>
    <w:rsid w:val="001325F8"/>
    <w:rsid w:val="00133556"/>
    <w:rsid w:val="001357AA"/>
    <w:rsid w:val="001361C7"/>
    <w:rsid w:val="001368E6"/>
    <w:rsid w:val="00145926"/>
    <w:rsid w:val="001509D5"/>
    <w:rsid w:val="00150B39"/>
    <w:rsid w:val="001533EB"/>
    <w:rsid w:val="001555F2"/>
    <w:rsid w:val="00170411"/>
    <w:rsid w:val="001724EC"/>
    <w:rsid w:val="0017574A"/>
    <w:rsid w:val="001832D9"/>
    <w:rsid w:val="001834C2"/>
    <w:rsid w:val="0018413A"/>
    <w:rsid w:val="00186290"/>
    <w:rsid w:val="00187A61"/>
    <w:rsid w:val="0019048A"/>
    <w:rsid w:val="0019097E"/>
    <w:rsid w:val="0019231F"/>
    <w:rsid w:val="00196D68"/>
    <w:rsid w:val="00197C5A"/>
    <w:rsid w:val="001A5847"/>
    <w:rsid w:val="001B1E38"/>
    <w:rsid w:val="001B3304"/>
    <w:rsid w:val="001B6A92"/>
    <w:rsid w:val="001B6F44"/>
    <w:rsid w:val="001C4938"/>
    <w:rsid w:val="001C5826"/>
    <w:rsid w:val="001C6CEF"/>
    <w:rsid w:val="001D2A91"/>
    <w:rsid w:val="001D65D3"/>
    <w:rsid w:val="001D6EE6"/>
    <w:rsid w:val="001E1DC3"/>
    <w:rsid w:val="001E738B"/>
    <w:rsid w:val="001F077B"/>
    <w:rsid w:val="001F472E"/>
    <w:rsid w:val="001F4EB2"/>
    <w:rsid w:val="001F79A2"/>
    <w:rsid w:val="002023FC"/>
    <w:rsid w:val="002029B0"/>
    <w:rsid w:val="00202F85"/>
    <w:rsid w:val="00203ED1"/>
    <w:rsid w:val="00205DE2"/>
    <w:rsid w:val="00207926"/>
    <w:rsid w:val="002101D2"/>
    <w:rsid w:val="0021067C"/>
    <w:rsid w:val="00210FE5"/>
    <w:rsid w:val="00215502"/>
    <w:rsid w:val="00215938"/>
    <w:rsid w:val="00220411"/>
    <w:rsid w:val="002217FD"/>
    <w:rsid w:val="00225B22"/>
    <w:rsid w:val="00234254"/>
    <w:rsid w:val="002356BF"/>
    <w:rsid w:val="0023680A"/>
    <w:rsid w:val="00240BFF"/>
    <w:rsid w:val="00240C55"/>
    <w:rsid w:val="002500B4"/>
    <w:rsid w:val="00251D9A"/>
    <w:rsid w:val="00251F81"/>
    <w:rsid w:val="002636E6"/>
    <w:rsid w:val="0026388D"/>
    <w:rsid w:val="002665DB"/>
    <w:rsid w:val="00266DE6"/>
    <w:rsid w:val="002700CD"/>
    <w:rsid w:val="00270612"/>
    <w:rsid w:val="00275FAA"/>
    <w:rsid w:val="00292C9D"/>
    <w:rsid w:val="002A08A5"/>
    <w:rsid w:val="002A58F6"/>
    <w:rsid w:val="002A5E62"/>
    <w:rsid w:val="002AC8F9"/>
    <w:rsid w:val="002B2563"/>
    <w:rsid w:val="002B2BF0"/>
    <w:rsid w:val="002D4BFB"/>
    <w:rsid w:val="002D5F4A"/>
    <w:rsid w:val="002E2116"/>
    <w:rsid w:val="002E4084"/>
    <w:rsid w:val="002E45C6"/>
    <w:rsid w:val="002F3F7E"/>
    <w:rsid w:val="002F678E"/>
    <w:rsid w:val="002F6B0B"/>
    <w:rsid w:val="00300E23"/>
    <w:rsid w:val="00306C54"/>
    <w:rsid w:val="00306D84"/>
    <w:rsid w:val="00312F48"/>
    <w:rsid w:val="003132E9"/>
    <w:rsid w:val="00316012"/>
    <w:rsid w:val="00323902"/>
    <w:rsid w:val="00334C1D"/>
    <w:rsid w:val="0034131E"/>
    <w:rsid w:val="00346AD9"/>
    <w:rsid w:val="003470F9"/>
    <w:rsid w:val="00347207"/>
    <w:rsid w:val="00350B2A"/>
    <w:rsid w:val="00352B26"/>
    <w:rsid w:val="003530F0"/>
    <w:rsid w:val="00356430"/>
    <w:rsid w:val="0035750B"/>
    <w:rsid w:val="00357DC5"/>
    <w:rsid w:val="003635D0"/>
    <w:rsid w:val="00366F6B"/>
    <w:rsid w:val="00372049"/>
    <w:rsid w:val="00372C87"/>
    <w:rsid w:val="00373468"/>
    <w:rsid w:val="00381915"/>
    <w:rsid w:val="00382F06"/>
    <w:rsid w:val="003845A2"/>
    <w:rsid w:val="003871DC"/>
    <w:rsid w:val="0039534F"/>
    <w:rsid w:val="003A15A6"/>
    <w:rsid w:val="003A161C"/>
    <w:rsid w:val="003A6ABA"/>
    <w:rsid w:val="003B08CC"/>
    <w:rsid w:val="003B1B90"/>
    <w:rsid w:val="003B3C5A"/>
    <w:rsid w:val="003B4902"/>
    <w:rsid w:val="003B6073"/>
    <w:rsid w:val="003C0022"/>
    <w:rsid w:val="003C379A"/>
    <w:rsid w:val="003C436C"/>
    <w:rsid w:val="003D2293"/>
    <w:rsid w:val="003D5524"/>
    <w:rsid w:val="003E219E"/>
    <w:rsid w:val="003E22C4"/>
    <w:rsid w:val="003E2FB8"/>
    <w:rsid w:val="003E6181"/>
    <w:rsid w:val="003E7120"/>
    <w:rsid w:val="003F3ADE"/>
    <w:rsid w:val="00400138"/>
    <w:rsid w:val="00405466"/>
    <w:rsid w:val="00406D45"/>
    <w:rsid w:val="004162FF"/>
    <w:rsid w:val="004238E3"/>
    <w:rsid w:val="00426C72"/>
    <w:rsid w:val="00427E2A"/>
    <w:rsid w:val="00440013"/>
    <w:rsid w:val="004402DC"/>
    <w:rsid w:val="00447E8B"/>
    <w:rsid w:val="0045258F"/>
    <w:rsid w:val="0045496E"/>
    <w:rsid w:val="00457E63"/>
    <w:rsid w:val="00461C46"/>
    <w:rsid w:val="00463785"/>
    <w:rsid w:val="004667CC"/>
    <w:rsid w:val="0047282A"/>
    <w:rsid w:val="00473102"/>
    <w:rsid w:val="00483A6A"/>
    <w:rsid w:val="004942CF"/>
    <w:rsid w:val="004947B0"/>
    <w:rsid w:val="004A2108"/>
    <w:rsid w:val="004A590F"/>
    <w:rsid w:val="004B0ABE"/>
    <w:rsid w:val="004B1BA1"/>
    <w:rsid w:val="004B61F9"/>
    <w:rsid w:val="004B6C7F"/>
    <w:rsid w:val="004C0418"/>
    <w:rsid w:val="004C1815"/>
    <w:rsid w:val="004C218A"/>
    <w:rsid w:val="004C278C"/>
    <w:rsid w:val="004D0491"/>
    <w:rsid w:val="004D1A4F"/>
    <w:rsid w:val="004D1DDF"/>
    <w:rsid w:val="004D52D6"/>
    <w:rsid w:val="004D721E"/>
    <w:rsid w:val="004E3B8A"/>
    <w:rsid w:val="004E4DB3"/>
    <w:rsid w:val="004E5017"/>
    <w:rsid w:val="004E5676"/>
    <w:rsid w:val="004F748A"/>
    <w:rsid w:val="00505983"/>
    <w:rsid w:val="00505EFC"/>
    <w:rsid w:val="00512CC2"/>
    <w:rsid w:val="005160D2"/>
    <w:rsid w:val="005309A9"/>
    <w:rsid w:val="005311A5"/>
    <w:rsid w:val="00536D61"/>
    <w:rsid w:val="00543B1F"/>
    <w:rsid w:val="00550198"/>
    <w:rsid w:val="00551AB2"/>
    <w:rsid w:val="00562128"/>
    <w:rsid w:val="00562D4C"/>
    <w:rsid w:val="00563FF4"/>
    <w:rsid w:val="005665AD"/>
    <w:rsid w:val="005667E4"/>
    <w:rsid w:val="00571E27"/>
    <w:rsid w:val="0057489F"/>
    <w:rsid w:val="005763AD"/>
    <w:rsid w:val="00577129"/>
    <w:rsid w:val="005771C8"/>
    <w:rsid w:val="00582CBC"/>
    <w:rsid w:val="0058460A"/>
    <w:rsid w:val="00584BD2"/>
    <w:rsid w:val="00584EC4"/>
    <w:rsid w:val="00590726"/>
    <w:rsid w:val="00590FFE"/>
    <w:rsid w:val="005A0C33"/>
    <w:rsid w:val="005A23DC"/>
    <w:rsid w:val="005A49F7"/>
    <w:rsid w:val="005B0337"/>
    <w:rsid w:val="005B16E6"/>
    <w:rsid w:val="005D09EE"/>
    <w:rsid w:val="005D44D8"/>
    <w:rsid w:val="005D4DAC"/>
    <w:rsid w:val="005D5C33"/>
    <w:rsid w:val="005D62B1"/>
    <w:rsid w:val="005D668E"/>
    <w:rsid w:val="005E081D"/>
    <w:rsid w:val="005E195F"/>
    <w:rsid w:val="005E7619"/>
    <w:rsid w:val="005F29B7"/>
    <w:rsid w:val="005F473E"/>
    <w:rsid w:val="005F55A9"/>
    <w:rsid w:val="00600759"/>
    <w:rsid w:val="006053DD"/>
    <w:rsid w:val="00605A7B"/>
    <w:rsid w:val="00615D5D"/>
    <w:rsid w:val="006161AE"/>
    <w:rsid w:val="00624A0C"/>
    <w:rsid w:val="006364CE"/>
    <w:rsid w:val="00637083"/>
    <w:rsid w:val="00643275"/>
    <w:rsid w:val="00643AAD"/>
    <w:rsid w:val="00643ACC"/>
    <w:rsid w:val="006510CB"/>
    <w:rsid w:val="006552E5"/>
    <w:rsid w:val="00660196"/>
    <w:rsid w:val="00665B97"/>
    <w:rsid w:val="006662D7"/>
    <w:rsid w:val="006665A6"/>
    <w:rsid w:val="006674B5"/>
    <w:rsid w:val="00667F07"/>
    <w:rsid w:val="006733D2"/>
    <w:rsid w:val="00673AA3"/>
    <w:rsid w:val="006807F3"/>
    <w:rsid w:val="0068486D"/>
    <w:rsid w:val="00691AE3"/>
    <w:rsid w:val="00693F0F"/>
    <w:rsid w:val="00697D42"/>
    <w:rsid w:val="006A2018"/>
    <w:rsid w:val="006B6631"/>
    <w:rsid w:val="006B70BE"/>
    <w:rsid w:val="006C703E"/>
    <w:rsid w:val="006D0E3A"/>
    <w:rsid w:val="006D4363"/>
    <w:rsid w:val="006D6342"/>
    <w:rsid w:val="006E4D06"/>
    <w:rsid w:val="006E6527"/>
    <w:rsid w:val="006E722E"/>
    <w:rsid w:val="006F41E2"/>
    <w:rsid w:val="006F728B"/>
    <w:rsid w:val="00705CB8"/>
    <w:rsid w:val="00711AC4"/>
    <w:rsid w:val="00712525"/>
    <w:rsid w:val="00713AC2"/>
    <w:rsid w:val="00714118"/>
    <w:rsid w:val="007142AE"/>
    <w:rsid w:val="0071623A"/>
    <w:rsid w:val="00720D3A"/>
    <w:rsid w:val="00726216"/>
    <w:rsid w:val="00731B4D"/>
    <w:rsid w:val="007377A1"/>
    <w:rsid w:val="007404EB"/>
    <w:rsid w:val="00740751"/>
    <w:rsid w:val="0074182A"/>
    <w:rsid w:val="007464E8"/>
    <w:rsid w:val="00751D20"/>
    <w:rsid w:val="007526FE"/>
    <w:rsid w:val="007529A9"/>
    <w:rsid w:val="007549BB"/>
    <w:rsid w:val="00754BD4"/>
    <w:rsid w:val="0075745C"/>
    <w:rsid w:val="00760AAF"/>
    <w:rsid w:val="007624FC"/>
    <w:rsid w:val="007724F6"/>
    <w:rsid w:val="00773518"/>
    <w:rsid w:val="0078018B"/>
    <w:rsid w:val="007818AD"/>
    <w:rsid w:val="007939DF"/>
    <w:rsid w:val="00793DB6"/>
    <w:rsid w:val="007A18EE"/>
    <w:rsid w:val="007A254F"/>
    <w:rsid w:val="007A4627"/>
    <w:rsid w:val="007A4899"/>
    <w:rsid w:val="007A788E"/>
    <w:rsid w:val="007A7BB9"/>
    <w:rsid w:val="007B3D8D"/>
    <w:rsid w:val="007B551B"/>
    <w:rsid w:val="007C753D"/>
    <w:rsid w:val="007C7B55"/>
    <w:rsid w:val="007D0948"/>
    <w:rsid w:val="007D1E1B"/>
    <w:rsid w:val="007D630D"/>
    <w:rsid w:val="007D6B86"/>
    <w:rsid w:val="007D6DEF"/>
    <w:rsid w:val="007E0322"/>
    <w:rsid w:val="007E0FDF"/>
    <w:rsid w:val="007E495E"/>
    <w:rsid w:val="007F01E3"/>
    <w:rsid w:val="007F7CA8"/>
    <w:rsid w:val="00801E8F"/>
    <w:rsid w:val="0080284E"/>
    <w:rsid w:val="0080549B"/>
    <w:rsid w:val="0081117A"/>
    <w:rsid w:val="00824205"/>
    <w:rsid w:val="008334DC"/>
    <w:rsid w:val="0083385A"/>
    <w:rsid w:val="00833CE7"/>
    <w:rsid w:val="00833D4F"/>
    <w:rsid w:val="0084066C"/>
    <w:rsid w:val="00841129"/>
    <w:rsid w:val="00847424"/>
    <w:rsid w:val="00847878"/>
    <w:rsid w:val="008508BA"/>
    <w:rsid w:val="00850C2C"/>
    <w:rsid w:val="00853BE0"/>
    <w:rsid w:val="00853C9D"/>
    <w:rsid w:val="00854563"/>
    <w:rsid w:val="00857B31"/>
    <w:rsid w:val="00861582"/>
    <w:rsid w:val="00862621"/>
    <w:rsid w:val="00867695"/>
    <w:rsid w:val="00870D53"/>
    <w:rsid w:val="00875B56"/>
    <w:rsid w:val="008772FF"/>
    <w:rsid w:val="00880B27"/>
    <w:rsid w:val="0088391F"/>
    <w:rsid w:val="008919FD"/>
    <w:rsid w:val="0089500B"/>
    <w:rsid w:val="0089688A"/>
    <w:rsid w:val="008A16A5"/>
    <w:rsid w:val="008B1380"/>
    <w:rsid w:val="008B282B"/>
    <w:rsid w:val="008B3796"/>
    <w:rsid w:val="008B41AE"/>
    <w:rsid w:val="008C1849"/>
    <w:rsid w:val="008C1AE7"/>
    <w:rsid w:val="008C5C42"/>
    <w:rsid w:val="008C7B27"/>
    <w:rsid w:val="008D4734"/>
    <w:rsid w:val="008D77A2"/>
    <w:rsid w:val="008D7C6D"/>
    <w:rsid w:val="008E41D9"/>
    <w:rsid w:val="008F3210"/>
    <w:rsid w:val="008F4B3F"/>
    <w:rsid w:val="008F64D6"/>
    <w:rsid w:val="00904EF9"/>
    <w:rsid w:val="00905875"/>
    <w:rsid w:val="00915638"/>
    <w:rsid w:val="00920084"/>
    <w:rsid w:val="00920D3A"/>
    <w:rsid w:val="0092607F"/>
    <w:rsid w:val="00926BB0"/>
    <w:rsid w:val="00931361"/>
    <w:rsid w:val="00931369"/>
    <w:rsid w:val="00936408"/>
    <w:rsid w:val="00937F51"/>
    <w:rsid w:val="00941FE5"/>
    <w:rsid w:val="0094201D"/>
    <w:rsid w:val="009437D4"/>
    <w:rsid w:val="00951F79"/>
    <w:rsid w:val="009574FF"/>
    <w:rsid w:val="009602CE"/>
    <w:rsid w:val="0096069A"/>
    <w:rsid w:val="00961E0C"/>
    <w:rsid w:val="009631D2"/>
    <w:rsid w:val="00964ABE"/>
    <w:rsid w:val="00965577"/>
    <w:rsid w:val="00965623"/>
    <w:rsid w:val="00971FE1"/>
    <w:rsid w:val="009748EF"/>
    <w:rsid w:val="009762B7"/>
    <w:rsid w:val="0097713A"/>
    <w:rsid w:val="00980339"/>
    <w:rsid w:val="00986382"/>
    <w:rsid w:val="00987724"/>
    <w:rsid w:val="009952CA"/>
    <w:rsid w:val="00997EF9"/>
    <w:rsid w:val="009A3083"/>
    <w:rsid w:val="009A6777"/>
    <w:rsid w:val="009A6BE4"/>
    <w:rsid w:val="009C2205"/>
    <w:rsid w:val="009C2F55"/>
    <w:rsid w:val="009C4605"/>
    <w:rsid w:val="009D6110"/>
    <w:rsid w:val="009D649A"/>
    <w:rsid w:val="009D71F7"/>
    <w:rsid w:val="009E4AFC"/>
    <w:rsid w:val="009E51A9"/>
    <w:rsid w:val="009F081E"/>
    <w:rsid w:val="009F4EA4"/>
    <w:rsid w:val="009F5D79"/>
    <w:rsid w:val="00A0047A"/>
    <w:rsid w:val="00A0688B"/>
    <w:rsid w:val="00A120D0"/>
    <w:rsid w:val="00A12632"/>
    <w:rsid w:val="00A153E8"/>
    <w:rsid w:val="00A21212"/>
    <w:rsid w:val="00A214CE"/>
    <w:rsid w:val="00A31F02"/>
    <w:rsid w:val="00A329FB"/>
    <w:rsid w:val="00A35A72"/>
    <w:rsid w:val="00A41638"/>
    <w:rsid w:val="00A446DD"/>
    <w:rsid w:val="00A458BE"/>
    <w:rsid w:val="00A50C82"/>
    <w:rsid w:val="00A514EC"/>
    <w:rsid w:val="00A51A29"/>
    <w:rsid w:val="00A5588B"/>
    <w:rsid w:val="00A63651"/>
    <w:rsid w:val="00A6484B"/>
    <w:rsid w:val="00A72075"/>
    <w:rsid w:val="00A73751"/>
    <w:rsid w:val="00A73F40"/>
    <w:rsid w:val="00A74DCA"/>
    <w:rsid w:val="00A76561"/>
    <w:rsid w:val="00A849F0"/>
    <w:rsid w:val="00A87619"/>
    <w:rsid w:val="00A906EA"/>
    <w:rsid w:val="00A942B7"/>
    <w:rsid w:val="00A9530E"/>
    <w:rsid w:val="00A95D2A"/>
    <w:rsid w:val="00AA27C3"/>
    <w:rsid w:val="00AA34BF"/>
    <w:rsid w:val="00AA663B"/>
    <w:rsid w:val="00AA78B8"/>
    <w:rsid w:val="00AB0162"/>
    <w:rsid w:val="00AB1CC7"/>
    <w:rsid w:val="00AB2022"/>
    <w:rsid w:val="00AC25DE"/>
    <w:rsid w:val="00AD5033"/>
    <w:rsid w:val="00AE6FF0"/>
    <w:rsid w:val="00AF527D"/>
    <w:rsid w:val="00B127EA"/>
    <w:rsid w:val="00B143A4"/>
    <w:rsid w:val="00B15D8C"/>
    <w:rsid w:val="00B16C0F"/>
    <w:rsid w:val="00B22574"/>
    <w:rsid w:val="00B23C31"/>
    <w:rsid w:val="00B35B98"/>
    <w:rsid w:val="00B36776"/>
    <w:rsid w:val="00B36B0E"/>
    <w:rsid w:val="00B36B85"/>
    <w:rsid w:val="00B40130"/>
    <w:rsid w:val="00B43D04"/>
    <w:rsid w:val="00B472F1"/>
    <w:rsid w:val="00B52170"/>
    <w:rsid w:val="00B565C4"/>
    <w:rsid w:val="00B64960"/>
    <w:rsid w:val="00B64D87"/>
    <w:rsid w:val="00B70AFB"/>
    <w:rsid w:val="00B73F27"/>
    <w:rsid w:val="00B75316"/>
    <w:rsid w:val="00B75D51"/>
    <w:rsid w:val="00B92109"/>
    <w:rsid w:val="00B96983"/>
    <w:rsid w:val="00BA20C4"/>
    <w:rsid w:val="00BA70E9"/>
    <w:rsid w:val="00BB21A0"/>
    <w:rsid w:val="00BB29B5"/>
    <w:rsid w:val="00BB4148"/>
    <w:rsid w:val="00BC2C3B"/>
    <w:rsid w:val="00BC30A8"/>
    <w:rsid w:val="00BC52B4"/>
    <w:rsid w:val="00BC6A55"/>
    <w:rsid w:val="00BC7B11"/>
    <w:rsid w:val="00BD2594"/>
    <w:rsid w:val="00BE1228"/>
    <w:rsid w:val="00BE6107"/>
    <w:rsid w:val="00BE6191"/>
    <w:rsid w:val="00BF0569"/>
    <w:rsid w:val="00BF2B35"/>
    <w:rsid w:val="00BF2B92"/>
    <w:rsid w:val="00BF506B"/>
    <w:rsid w:val="00BF72F0"/>
    <w:rsid w:val="00C03BAF"/>
    <w:rsid w:val="00C04F74"/>
    <w:rsid w:val="00C05128"/>
    <w:rsid w:val="00C07602"/>
    <w:rsid w:val="00C07913"/>
    <w:rsid w:val="00C16BE2"/>
    <w:rsid w:val="00C224DC"/>
    <w:rsid w:val="00C241ED"/>
    <w:rsid w:val="00C247B0"/>
    <w:rsid w:val="00C2742B"/>
    <w:rsid w:val="00C27DEB"/>
    <w:rsid w:val="00C355E6"/>
    <w:rsid w:val="00C35DD4"/>
    <w:rsid w:val="00C36F8C"/>
    <w:rsid w:val="00C40BEB"/>
    <w:rsid w:val="00C53F92"/>
    <w:rsid w:val="00C5487A"/>
    <w:rsid w:val="00C54FD6"/>
    <w:rsid w:val="00C5607B"/>
    <w:rsid w:val="00C5693F"/>
    <w:rsid w:val="00C62290"/>
    <w:rsid w:val="00C63AA1"/>
    <w:rsid w:val="00C65C08"/>
    <w:rsid w:val="00C7766C"/>
    <w:rsid w:val="00C847F1"/>
    <w:rsid w:val="00C84F64"/>
    <w:rsid w:val="00C85D30"/>
    <w:rsid w:val="00C90D89"/>
    <w:rsid w:val="00CA154F"/>
    <w:rsid w:val="00CA6FAD"/>
    <w:rsid w:val="00CA72DC"/>
    <w:rsid w:val="00CB0361"/>
    <w:rsid w:val="00CB2292"/>
    <w:rsid w:val="00CB27EF"/>
    <w:rsid w:val="00CB3941"/>
    <w:rsid w:val="00CB702A"/>
    <w:rsid w:val="00CB791B"/>
    <w:rsid w:val="00CC06C3"/>
    <w:rsid w:val="00CD4EB0"/>
    <w:rsid w:val="00CD5537"/>
    <w:rsid w:val="00CD5AEC"/>
    <w:rsid w:val="00CD72E9"/>
    <w:rsid w:val="00CE1102"/>
    <w:rsid w:val="00CE15AF"/>
    <w:rsid w:val="00CF30BA"/>
    <w:rsid w:val="00CF32BE"/>
    <w:rsid w:val="00D033DB"/>
    <w:rsid w:val="00D03656"/>
    <w:rsid w:val="00D0419E"/>
    <w:rsid w:val="00D1158E"/>
    <w:rsid w:val="00D13FE4"/>
    <w:rsid w:val="00D1534D"/>
    <w:rsid w:val="00D17EE6"/>
    <w:rsid w:val="00D205FF"/>
    <w:rsid w:val="00D22A67"/>
    <w:rsid w:val="00D3189C"/>
    <w:rsid w:val="00D339B9"/>
    <w:rsid w:val="00D3684E"/>
    <w:rsid w:val="00D50666"/>
    <w:rsid w:val="00D55F52"/>
    <w:rsid w:val="00D56F48"/>
    <w:rsid w:val="00D60657"/>
    <w:rsid w:val="00D61362"/>
    <w:rsid w:val="00D65F74"/>
    <w:rsid w:val="00D77A2F"/>
    <w:rsid w:val="00D803AC"/>
    <w:rsid w:val="00D86BEA"/>
    <w:rsid w:val="00D87718"/>
    <w:rsid w:val="00D91B81"/>
    <w:rsid w:val="00D92E54"/>
    <w:rsid w:val="00D92F2E"/>
    <w:rsid w:val="00D94808"/>
    <w:rsid w:val="00DA01E7"/>
    <w:rsid w:val="00DA2DAE"/>
    <w:rsid w:val="00DA44E2"/>
    <w:rsid w:val="00DA4651"/>
    <w:rsid w:val="00DB05D1"/>
    <w:rsid w:val="00DB0FC4"/>
    <w:rsid w:val="00DB1135"/>
    <w:rsid w:val="00DC39E7"/>
    <w:rsid w:val="00DC631B"/>
    <w:rsid w:val="00DC6AAC"/>
    <w:rsid w:val="00DD3D1D"/>
    <w:rsid w:val="00DD5276"/>
    <w:rsid w:val="00DD6076"/>
    <w:rsid w:val="00DE08BD"/>
    <w:rsid w:val="00DE0B37"/>
    <w:rsid w:val="00DE42DC"/>
    <w:rsid w:val="00DE7FC7"/>
    <w:rsid w:val="00DF0056"/>
    <w:rsid w:val="00DF1697"/>
    <w:rsid w:val="00DF2A96"/>
    <w:rsid w:val="00DF626A"/>
    <w:rsid w:val="00E00D5F"/>
    <w:rsid w:val="00E01BFF"/>
    <w:rsid w:val="00E03607"/>
    <w:rsid w:val="00E14BA0"/>
    <w:rsid w:val="00E21942"/>
    <w:rsid w:val="00E21E9B"/>
    <w:rsid w:val="00E22330"/>
    <w:rsid w:val="00E2459A"/>
    <w:rsid w:val="00E36C9E"/>
    <w:rsid w:val="00E42E97"/>
    <w:rsid w:val="00E52092"/>
    <w:rsid w:val="00E61AA5"/>
    <w:rsid w:val="00E62368"/>
    <w:rsid w:val="00E642FB"/>
    <w:rsid w:val="00E660F9"/>
    <w:rsid w:val="00E7181B"/>
    <w:rsid w:val="00E72906"/>
    <w:rsid w:val="00E732C3"/>
    <w:rsid w:val="00E73445"/>
    <w:rsid w:val="00E76359"/>
    <w:rsid w:val="00E82000"/>
    <w:rsid w:val="00E8331B"/>
    <w:rsid w:val="00E83C62"/>
    <w:rsid w:val="00E840ED"/>
    <w:rsid w:val="00E847E1"/>
    <w:rsid w:val="00E87CFB"/>
    <w:rsid w:val="00E917A4"/>
    <w:rsid w:val="00E95017"/>
    <w:rsid w:val="00E967E8"/>
    <w:rsid w:val="00EA1C30"/>
    <w:rsid w:val="00EA1EE1"/>
    <w:rsid w:val="00EA2718"/>
    <w:rsid w:val="00EA5BD2"/>
    <w:rsid w:val="00EA70CB"/>
    <w:rsid w:val="00EB0EE3"/>
    <w:rsid w:val="00EB2FEF"/>
    <w:rsid w:val="00EB360A"/>
    <w:rsid w:val="00EB6ADC"/>
    <w:rsid w:val="00EC3D3B"/>
    <w:rsid w:val="00ED40D2"/>
    <w:rsid w:val="00ED61EE"/>
    <w:rsid w:val="00ED7249"/>
    <w:rsid w:val="00EE2FCB"/>
    <w:rsid w:val="00EF143C"/>
    <w:rsid w:val="00EF2894"/>
    <w:rsid w:val="00EF5255"/>
    <w:rsid w:val="00F0119D"/>
    <w:rsid w:val="00F06410"/>
    <w:rsid w:val="00F10BFD"/>
    <w:rsid w:val="00F127EF"/>
    <w:rsid w:val="00F12943"/>
    <w:rsid w:val="00F16D4A"/>
    <w:rsid w:val="00F205CD"/>
    <w:rsid w:val="00F22467"/>
    <w:rsid w:val="00F271A2"/>
    <w:rsid w:val="00F300B0"/>
    <w:rsid w:val="00F30A2E"/>
    <w:rsid w:val="00F33444"/>
    <w:rsid w:val="00F3437B"/>
    <w:rsid w:val="00F346F9"/>
    <w:rsid w:val="00F348CD"/>
    <w:rsid w:val="00F36980"/>
    <w:rsid w:val="00F42A44"/>
    <w:rsid w:val="00F43594"/>
    <w:rsid w:val="00F44031"/>
    <w:rsid w:val="00F539A2"/>
    <w:rsid w:val="00F65124"/>
    <w:rsid w:val="00F70368"/>
    <w:rsid w:val="00F716A8"/>
    <w:rsid w:val="00F71826"/>
    <w:rsid w:val="00F71D13"/>
    <w:rsid w:val="00F73849"/>
    <w:rsid w:val="00F832FE"/>
    <w:rsid w:val="00F92ECE"/>
    <w:rsid w:val="00F9482F"/>
    <w:rsid w:val="00F964D3"/>
    <w:rsid w:val="00FA7B8E"/>
    <w:rsid w:val="00FB1E4C"/>
    <w:rsid w:val="00FB380B"/>
    <w:rsid w:val="00FC1A10"/>
    <w:rsid w:val="00FC2B8B"/>
    <w:rsid w:val="00FC46DD"/>
    <w:rsid w:val="00FC5675"/>
    <w:rsid w:val="00FC6678"/>
    <w:rsid w:val="00FD4C4E"/>
    <w:rsid w:val="00FD76EF"/>
    <w:rsid w:val="00FE030E"/>
    <w:rsid w:val="00FE0A11"/>
    <w:rsid w:val="00FE17FD"/>
    <w:rsid w:val="00FE19E7"/>
    <w:rsid w:val="00FE7B55"/>
    <w:rsid w:val="00FF4442"/>
    <w:rsid w:val="00FF5A5A"/>
    <w:rsid w:val="0155E9B6"/>
    <w:rsid w:val="03271FE9"/>
    <w:rsid w:val="04D37CEE"/>
    <w:rsid w:val="052E2D54"/>
    <w:rsid w:val="05F2F5FE"/>
    <w:rsid w:val="065F4BB8"/>
    <w:rsid w:val="06B6BABF"/>
    <w:rsid w:val="09EFB7A2"/>
    <w:rsid w:val="0B1454D0"/>
    <w:rsid w:val="0DE091F2"/>
    <w:rsid w:val="0E07DE36"/>
    <w:rsid w:val="0E6A4D40"/>
    <w:rsid w:val="0E6E9F0D"/>
    <w:rsid w:val="0EACD5B9"/>
    <w:rsid w:val="10C8913A"/>
    <w:rsid w:val="11DB3863"/>
    <w:rsid w:val="13A638DE"/>
    <w:rsid w:val="13EBFE23"/>
    <w:rsid w:val="160D062E"/>
    <w:rsid w:val="18864BFD"/>
    <w:rsid w:val="1BC155E2"/>
    <w:rsid w:val="1DD92EDD"/>
    <w:rsid w:val="1E78A3E4"/>
    <w:rsid w:val="20A391DA"/>
    <w:rsid w:val="213CBF0C"/>
    <w:rsid w:val="218A7838"/>
    <w:rsid w:val="2196402C"/>
    <w:rsid w:val="21EC79F4"/>
    <w:rsid w:val="23AE8FDB"/>
    <w:rsid w:val="25A1E131"/>
    <w:rsid w:val="25BA8C4F"/>
    <w:rsid w:val="25C3D3BD"/>
    <w:rsid w:val="25D5E126"/>
    <w:rsid w:val="26D8F9FE"/>
    <w:rsid w:val="27485DB4"/>
    <w:rsid w:val="280F3839"/>
    <w:rsid w:val="2823BA89"/>
    <w:rsid w:val="29D58F69"/>
    <w:rsid w:val="2B526E90"/>
    <w:rsid w:val="2BCF5C3B"/>
    <w:rsid w:val="2BD157C8"/>
    <w:rsid w:val="2CC20839"/>
    <w:rsid w:val="2E080D76"/>
    <w:rsid w:val="2E70FD7C"/>
    <w:rsid w:val="308CE62E"/>
    <w:rsid w:val="30A0C5C1"/>
    <w:rsid w:val="30CFD852"/>
    <w:rsid w:val="34FEDFA7"/>
    <w:rsid w:val="368BA70F"/>
    <w:rsid w:val="369F593A"/>
    <w:rsid w:val="371856E5"/>
    <w:rsid w:val="374C9155"/>
    <w:rsid w:val="374D3F58"/>
    <w:rsid w:val="375BD748"/>
    <w:rsid w:val="383814D8"/>
    <w:rsid w:val="38B4911A"/>
    <w:rsid w:val="3B008945"/>
    <w:rsid w:val="3BA2837A"/>
    <w:rsid w:val="3C53924A"/>
    <w:rsid w:val="3CB12B5E"/>
    <w:rsid w:val="3D067019"/>
    <w:rsid w:val="3F5437B4"/>
    <w:rsid w:val="3F923CFA"/>
    <w:rsid w:val="40C884A9"/>
    <w:rsid w:val="41641B85"/>
    <w:rsid w:val="41D7D9E1"/>
    <w:rsid w:val="44AB56BC"/>
    <w:rsid w:val="453F7431"/>
    <w:rsid w:val="47E32624"/>
    <w:rsid w:val="48B9734A"/>
    <w:rsid w:val="4959E5F3"/>
    <w:rsid w:val="4BE621DD"/>
    <w:rsid w:val="4CBEDA62"/>
    <w:rsid w:val="4CCE9515"/>
    <w:rsid w:val="4DD2CB84"/>
    <w:rsid w:val="50F06A75"/>
    <w:rsid w:val="50F50845"/>
    <w:rsid w:val="511E37BC"/>
    <w:rsid w:val="5305EDC2"/>
    <w:rsid w:val="53BD2348"/>
    <w:rsid w:val="546A92CD"/>
    <w:rsid w:val="54830A3B"/>
    <w:rsid w:val="560C8024"/>
    <w:rsid w:val="5898401E"/>
    <w:rsid w:val="5B31A40B"/>
    <w:rsid w:val="5B686FB7"/>
    <w:rsid w:val="5B878019"/>
    <w:rsid w:val="5CA98C24"/>
    <w:rsid w:val="5DA99854"/>
    <w:rsid w:val="5E5C0721"/>
    <w:rsid w:val="5EDF671A"/>
    <w:rsid w:val="5F770E7E"/>
    <w:rsid w:val="61E92C20"/>
    <w:rsid w:val="63EBA826"/>
    <w:rsid w:val="663B0077"/>
    <w:rsid w:val="6A4B926E"/>
    <w:rsid w:val="6A997622"/>
    <w:rsid w:val="6BC0EBE4"/>
    <w:rsid w:val="6FC62043"/>
    <w:rsid w:val="70C8D37E"/>
    <w:rsid w:val="737CE7B6"/>
    <w:rsid w:val="7433E11C"/>
    <w:rsid w:val="76B730A9"/>
    <w:rsid w:val="7832F1F8"/>
    <w:rsid w:val="7871484E"/>
    <w:rsid w:val="79BE70E0"/>
    <w:rsid w:val="7D47A171"/>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EEC3"/>
  <w15:docId w15:val="{DB86BFA1-4FA5-44A2-961A-7DABB6DE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uiPriority w:val="34"/>
    <w:qFormat/>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 w:type="character" w:styleId="Textoennegrita">
    <w:name w:val="Strong"/>
    <w:basedOn w:val="Fuentedeprrafopredeter"/>
    <w:uiPriority w:val="22"/>
    <w:qFormat/>
    <w:rsid w:val="0035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2019655383">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lconfidencialdigital.com/articulo/dinero/siete-cada-diez-trabajadores-reciben-formacion-financiera-empresas/202606111252181025676.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ther@taxdow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apital.es/actualidad/mas-del-70-de-los-profesionales-no-recibe-educacion-financiera/1890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ipo.edenred@newlink-group.com" TargetMode="External"/><Relationship Id="rId5" Type="http://schemas.openxmlformats.org/officeDocument/2006/relationships/webSettings" Target="webSettings.xml"/><Relationship Id="rId15" Type="http://schemas.openxmlformats.org/officeDocument/2006/relationships/hyperlink" Target="https://www.elobrero.es/cine/182226-ultimos-dias-para-la-renta-un-70-de-los-espanoles-la-afrontan-con-total-desconocimiento-financiero.html" TargetMode="External"/><Relationship Id="rId10" Type="http://schemas.openxmlformats.org/officeDocument/2006/relationships/hyperlink" Target="mailto:alejandro.delgadosanchez@edenre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lobrero.es/cine/182226-ultimos-dias-para-la-renta-un-70-de-los-espanoles-la-afrontan-con-total-desconocimiento-financiero.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1381</Words>
  <Characters>8256</Characters>
  <Application>Microsoft Office Word</Application>
  <DocSecurity>0</DocSecurity>
  <Lines>68</Lines>
  <Paragraphs>19</Paragraphs>
  <ScaleCrop>false</ScaleCrop>
  <Company/>
  <LinksUpToDate>false</LinksUpToDate>
  <CharactersWithSpaces>9618</CharactersWithSpaces>
  <SharedDoc>false</SharedDoc>
  <HLinks>
    <vt:vector size="12" baseType="variant">
      <vt:variant>
        <vt:i4>983083</vt:i4>
      </vt:variant>
      <vt:variant>
        <vt:i4>3</vt:i4>
      </vt:variant>
      <vt:variant>
        <vt:i4>0</vt:i4>
      </vt:variant>
      <vt:variant>
        <vt:i4>5</vt:i4>
      </vt:variant>
      <vt:variant>
        <vt:lpwstr>mailto:equipo.edenred@newlink-group.com</vt:lpwstr>
      </vt:variant>
      <vt:variant>
        <vt:lpwstr/>
      </vt:variant>
      <vt:variant>
        <vt:i4>196706</vt:i4>
      </vt:variant>
      <vt:variant>
        <vt:i4>0</vt:i4>
      </vt:variant>
      <vt:variant>
        <vt:i4>0</vt:i4>
      </vt:variant>
      <vt:variant>
        <vt:i4>5</vt:i4>
      </vt:variant>
      <vt:variant>
        <vt:lpwstr>mailto:alejandro.delgadosanchez@edenred.com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COURTOIS Cécile</dc:creator>
  <cp:keywords/>
  <cp:lastModifiedBy>SÁNCHEZ Míriam</cp:lastModifiedBy>
  <cp:revision>14</cp:revision>
  <dcterms:created xsi:type="dcterms:W3CDTF">2026-05-22T10:59:00Z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16091971-b0ef-48f5-bce1-a3196e01ad58_Enabled">
    <vt:lpwstr>true</vt:lpwstr>
  </property>
  <property fmtid="{D5CDD505-2E9C-101B-9397-08002B2CF9AE}" pid="5" name="MSIP_Label_16091971-b0ef-48f5-bce1-a3196e01ad58_SetDate">
    <vt:lpwstr>2026-07-20T11:22:15Z</vt:lpwstr>
  </property>
  <property fmtid="{D5CDD505-2E9C-101B-9397-08002B2CF9AE}" pid="6" name="MSIP_Label_16091971-b0ef-48f5-bce1-a3196e01ad58_Method">
    <vt:lpwstr>Privileged</vt:lpwstr>
  </property>
  <property fmtid="{D5CDD505-2E9C-101B-9397-08002B2CF9AE}" pid="7" name="MSIP_Label_16091971-b0ef-48f5-bce1-a3196e01ad58_Name">
    <vt:lpwstr>C2 – Internal</vt:lpwstr>
  </property>
  <property fmtid="{D5CDD505-2E9C-101B-9397-08002B2CF9AE}" pid="8" name="MSIP_Label_16091971-b0ef-48f5-bce1-a3196e01ad58_SiteId">
    <vt:lpwstr>4c1d9e0f-5c27-4228-a35a-de7b4083ff7b</vt:lpwstr>
  </property>
  <property fmtid="{D5CDD505-2E9C-101B-9397-08002B2CF9AE}" pid="9" name="MSIP_Label_16091971-b0ef-48f5-bce1-a3196e01ad58_ActionId">
    <vt:lpwstr>9141d7b8-aebc-44f5-ae2f-b43f26bbd508</vt:lpwstr>
  </property>
  <property fmtid="{D5CDD505-2E9C-101B-9397-08002B2CF9AE}" pid="10" name="MSIP_Label_16091971-b0ef-48f5-bce1-a3196e01ad58_ContentBits">
    <vt:lpwstr>0</vt:lpwstr>
  </property>
  <property fmtid="{D5CDD505-2E9C-101B-9397-08002B2CF9AE}" pid="11" name="MSIP_Label_16091971-b0ef-48f5-bce1-a3196e01ad58_Tag">
    <vt:lpwstr>10, 0, 1, 1</vt:lpwstr>
  </property>
</Properties>
</file>