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763F1" w14:textId="77777777" w:rsidR="0034131E" w:rsidRPr="00833D4F" w:rsidRDefault="00E660F9">
      <w:pPr>
        <w:pBdr>
          <w:top w:val="nil"/>
          <w:left w:val="nil"/>
          <w:bottom w:val="nil"/>
          <w:right w:val="nil"/>
          <w:between w:val="nil"/>
        </w:pBdr>
        <w:tabs>
          <w:tab w:val="left" w:pos="996"/>
          <w:tab w:val="right" w:pos="8504"/>
        </w:tabs>
        <w:spacing w:line="254" w:lineRule="auto"/>
        <w:jc w:val="right"/>
        <w:rPr>
          <w:rFonts w:ascii="Century Gothic" w:eastAsia="Century Gothic" w:hAnsi="Century Gothic" w:cs="Century Gothic"/>
          <w:color w:val="000000"/>
          <w:sz w:val="28"/>
          <w:szCs w:val="28"/>
          <w:lang w:val="es-ES"/>
        </w:rPr>
      </w:pPr>
      <w:r w:rsidRPr="00833D4F">
        <w:rPr>
          <w:rFonts w:ascii="Century Gothic" w:eastAsia="Century Gothic" w:hAnsi="Century Gothic" w:cs="Century Gothic"/>
          <w:b/>
          <w:color w:val="000000"/>
          <w:sz w:val="28"/>
          <w:szCs w:val="28"/>
          <w:lang w:val="es-ES"/>
        </w:rPr>
        <w:t>Nota de prensa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anchorId="0CF9CF7E" wp14:editId="6699C207">
            <wp:simplePos x="0" y="0"/>
            <wp:positionH relativeFrom="column">
              <wp:posOffset>-19685</wp:posOffset>
            </wp:positionH>
            <wp:positionV relativeFrom="paragraph">
              <wp:posOffset>-345438</wp:posOffset>
            </wp:positionV>
            <wp:extent cx="1421763" cy="878208"/>
            <wp:effectExtent l="0" t="0" r="0" b="0"/>
            <wp:wrapNone/>
            <wp:docPr id="82793767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1763" cy="8782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721C22F" w14:textId="0EA37E0C" w:rsidR="0034131E" w:rsidRPr="00833D4F" w:rsidRDefault="698867F5" w:rsidP="4C51934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right"/>
        <w:rPr>
          <w:rFonts w:ascii="Century Gothic" w:eastAsia="Century Gothic" w:hAnsi="Century Gothic" w:cs="Century Gothic"/>
          <w:color w:val="000000"/>
          <w:sz w:val="28"/>
          <w:szCs w:val="28"/>
          <w:lang w:val="es-ES"/>
        </w:rPr>
      </w:pPr>
      <w:r w:rsidRPr="4C519343">
        <w:rPr>
          <w:rFonts w:ascii="Century Gothic" w:eastAsia="Century Gothic" w:hAnsi="Century Gothic" w:cs="Century Gothic"/>
          <w:color w:val="000000" w:themeColor="text1"/>
          <w:sz w:val="22"/>
          <w:szCs w:val="22"/>
          <w:lang w:val="es-ES"/>
        </w:rPr>
        <w:t>17</w:t>
      </w:r>
      <w:r w:rsidR="6EB91F3B" w:rsidRPr="4C519343">
        <w:rPr>
          <w:rFonts w:ascii="Century Gothic" w:eastAsia="Century Gothic" w:hAnsi="Century Gothic" w:cs="Century Gothic"/>
          <w:color w:val="000000" w:themeColor="text1"/>
          <w:sz w:val="22"/>
          <w:szCs w:val="22"/>
          <w:lang w:val="es-ES"/>
        </w:rPr>
        <w:t xml:space="preserve"> </w:t>
      </w:r>
      <w:r w:rsidR="00E660F9" w:rsidRPr="4C519343">
        <w:rPr>
          <w:rFonts w:ascii="Century Gothic" w:eastAsia="Century Gothic" w:hAnsi="Century Gothic" w:cs="Century Gothic"/>
          <w:color w:val="000000" w:themeColor="text1"/>
          <w:sz w:val="22"/>
          <w:szCs w:val="22"/>
          <w:lang w:val="es-ES"/>
        </w:rPr>
        <w:t xml:space="preserve">de </w:t>
      </w:r>
      <w:r w:rsidR="00DF1697" w:rsidRPr="4C519343">
        <w:rPr>
          <w:rFonts w:ascii="Century Gothic" w:eastAsia="Century Gothic" w:hAnsi="Century Gothic" w:cs="Century Gothic"/>
          <w:color w:val="000000" w:themeColor="text1"/>
          <w:sz w:val="22"/>
          <w:szCs w:val="22"/>
          <w:lang w:val="es-ES"/>
        </w:rPr>
        <w:t>noviembre</w:t>
      </w:r>
      <w:r w:rsidR="00E660F9" w:rsidRPr="4C519343">
        <w:rPr>
          <w:rFonts w:ascii="Century Gothic" w:eastAsia="Century Gothic" w:hAnsi="Century Gothic" w:cs="Century Gothic"/>
          <w:color w:val="000000" w:themeColor="text1"/>
          <w:sz w:val="22"/>
          <w:szCs w:val="22"/>
          <w:lang w:val="es-ES"/>
        </w:rPr>
        <w:t xml:space="preserve"> de 2025</w:t>
      </w:r>
    </w:p>
    <w:p w14:paraId="5523504D" w14:textId="77777777" w:rsidR="0034131E" w:rsidRPr="00833D4F" w:rsidRDefault="0034131E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left="709" w:hanging="709"/>
        <w:jc w:val="center"/>
        <w:rPr>
          <w:rFonts w:ascii="Century Gothic" w:eastAsia="Century Gothic" w:hAnsi="Century Gothic" w:cs="Century Gothic"/>
          <w:color w:val="162056"/>
          <w:sz w:val="48"/>
          <w:szCs w:val="48"/>
          <w:lang w:val="es-ES"/>
        </w:rPr>
      </w:pPr>
    </w:p>
    <w:p w14:paraId="6D96D09C" w14:textId="68277CAF" w:rsidR="00022255" w:rsidRPr="008C6F01" w:rsidRDefault="00AE6FF0">
      <w:pPr>
        <w:jc w:val="center"/>
        <w:rPr>
          <w:rFonts w:ascii="Century Gothic" w:eastAsia="Century Gothic" w:hAnsi="Century Gothic" w:cs="Century Gothic"/>
          <w:color w:val="000000"/>
          <w:sz w:val="44"/>
          <w:szCs w:val="44"/>
          <w:lang w:val="es-ES"/>
        </w:rPr>
      </w:pPr>
      <w:r w:rsidRPr="008C6F01">
        <w:rPr>
          <w:rFonts w:ascii="Century Gothic" w:eastAsia="Century Gothic" w:hAnsi="Century Gothic" w:cs="Century Gothic"/>
          <w:color w:val="000000"/>
          <w:sz w:val="44"/>
          <w:szCs w:val="44"/>
          <w:lang w:val="es-ES"/>
        </w:rPr>
        <w:t>La distancia al trabajo afecta al 62 % de los españoles y amenaza la fidelización del talento</w:t>
      </w:r>
    </w:p>
    <w:p w14:paraId="5ECE8FCD" w14:textId="77777777" w:rsidR="00AE6FF0" w:rsidRPr="00833D4F" w:rsidRDefault="00AE6FF0">
      <w:pPr>
        <w:jc w:val="center"/>
        <w:rPr>
          <w:rFonts w:ascii="Century Gothic" w:eastAsia="Century Gothic" w:hAnsi="Century Gothic" w:cs="Century Gothic"/>
          <w:b/>
          <w:color w:val="000000"/>
          <w:sz w:val="44"/>
          <w:szCs w:val="44"/>
          <w:lang w:val="es-ES"/>
        </w:rPr>
      </w:pPr>
    </w:p>
    <w:p w14:paraId="3330BBDC" w14:textId="3D25BEE6" w:rsidR="005D09EE" w:rsidRPr="00BB29B5" w:rsidRDefault="008C5C42" w:rsidP="369F59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entury Gothic" w:hAnsi="Century Gothic" w:cs="Century Gothic"/>
          <w:b/>
          <w:bCs/>
          <w:color w:val="000000"/>
          <w:lang w:val="es-ES"/>
        </w:rPr>
      </w:pPr>
      <w:r w:rsidRPr="008C6F01">
        <w:rPr>
          <w:rFonts w:ascii="Century Gothic" w:hAnsi="Century Gothic" w:cs="Century Gothic"/>
          <w:b/>
          <w:bCs/>
          <w:color w:val="000000" w:themeColor="text1"/>
          <w:lang w:val="es-ES"/>
        </w:rPr>
        <w:t>L</w:t>
      </w:r>
      <w:r w:rsidR="00350B2A" w:rsidRPr="008C6F01">
        <w:rPr>
          <w:rFonts w:ascii="Century Gothic" w:hAnsi="Century Gothic" w:cs="Century Gothic"/>
          <w:b/>
          <w:bCs/>
          <w:color w:val="000000" w:themeColor="text1"/>
          <w:lang w:val="es-ES"/>
        </w:rPr>
        <w:t xml:space="preserve">a Generación Z </w:t>
      </w:r>
      <w:r w:rsidRPr="008C6F01">
        <w:rPr>
          <w:rFonts w:ascii="Century Gothic" w:hAnsi="Century Gothic" w:cs="Century Gothic"/>
          <w:b/>
          <w:bCs/>
          <w:color w:val="000000" w:themeColor="text1"/>
          <w:lang w:val="es-ES"/>
        </w:rPr>
        <w:t>(</w:t>
      </w:r>
      <w:r w:rsidR="1DD92EDD" w:rsidRPr="008C6F01">
        <w:rPr>
          <w:rFonts w:ascii="Century Gothic" w:hAnsi="Century Gothic" w:cs="Century Gothic"/>
          <w:b/>
          <w:bCs/>
          <w:color w:val="000000" w:themeColor="text1"/>
          <w:lang w:val="es-ES"/>
        </w:rPr>
        <w:t xml:space="preserve">de los </w:t>
      </w:r>
      <w:r w:rsidR="00350B2A" w:rsidRPr="008C6F01">
        <w:rPr>
          <w:rFonts w:ascii="Century Gothic" w:hAnsi="Century Gothic" w:cs="Century Gothic"/>
          <w:b/>
          <w:bCs/>
          <w:color w:val="000000" w:themeColor="text1"/>
          <w:lang w:val="es-ES"/>
        </w:rPr>
        <w:t>18</w:t>
      </w:r>
      <w:r w:rsidR="41641B85" w:rsidRPr="008C6F01">
        <w:rPr>
          <w:rFonts w:ascii="Century Gothic" w:hAnsi="Century Gothic" w:cs="Century Gothic"/>
          <w:b/>
          <w:bCs/>
          <w:color w:val="000000" w:themeColor="text1"/>
          <w:lang w:val="es-ES"/>
        </w:rPr>
        <w:t xml:space="preserve"> a los </w:t>
      </w:r>
      <w:r w:rsidR="00350B2A" w:rsidRPr="008C6F01">
        <w:rPr>
          <w:rFonts w:ascii="Century Gothic" w:hAnsi="Century Gothic" w:cs="Century Gothic"/>
          <w:b/>
          <w:bCs/>
          <w:color w:val="000000" w:themeColor="text1"/>
          <w:lang w:val="es-ES"/>
        </w:rPr>
        <w:t>24</w:t>
      </w:r>
      <w:r w:rsidRPr="008C6F01">
        <w:rPr>
          <w:rFonts w:ascii="Century Gothic" w:hAnsi="Century Gothic" w:cs="Century Gothic"/>
          <w:b/>
          <w:bCs/>
          <w:color w:val="000000" w:themeColor="text1"/>
          <w:lang w:val="es-ES"/>
        </w:rPr>
        <w:t xml:space="preserve"> años) son los más afectados: un </w:t>
      </w:r>
      <w:r w:rsidR="00A51A29" w:rsidRPr="008C6F01">
        <w:rPr>
          <w:rFonts w:ascii="Century Gothic" w:hAnsi="Century Gothic" w:cs="Century Gothic"/>
          <w:b/>
          <w:bCs/>
          <w:color w:val="000000" w:themeColor="text1"/>
          <w:lang w:val="es-ES"/>
        </w:rPr>
        <w:t>70</w:t>
      </w:r>
      <w:r w:rsidRPr="008C6F01">
        <w:rPr>
          <w:rFonts w:ascii="Century Gothic" w:hAnsi="Century Gothic" w:cs="Century Gothic"/>
          <w:b/>
          <w:bCs/>
          <w:color w:val="000000" w:themeColor="text1"/>
          <w:lang w:val="es-ES"/>
        </w:rPr>
        <w:t xml:space="preserve"> % afirma que el trayecto diario limita su equilibrio entre vida laboral y personal</w:t>
      </w:r>
      <w:r w:rsidR="09EFB7A2" w:rsidRPr="008C6F01">
        <w:rPr>
          <w:rFonts w:ascii="Century Gothic" w:hAnsi="Century Gothic" w:cs="Century Gothic"/>
          <w:b/>
          <w:bCs/>
          <w:color w:val="000000" w:themeColor="text1"/>
          <w:lang w:val="es-ES"/>
        </w:rPr>
        <w:t>.</w:t>
      </w:r>
    </w:p>
    <w:p w14:paraId="37859224" w14:textId="77777777" w:rsidR="00BB29B5" w:rsidRPr="00A514EC" w:rsidRDefault="00BB29B5" w:rsidP="00BB29B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Century Gothic" w:hAnsi="Century Gothic" w:cs="Century Gothic"/>
          <w:b/>
          <w:bCs/>
          <w:color w:val="000000"/>
          <w:lang w:val="es-ES"/>
        </w:rPr>
      </w:pPr>
    </w:p>
    <w:p w14:paraId="07CB2F56" w14:textId="1D20A596" w:rsidR="00A514EC" w:rsidRPr="00A95D2A" w:rsidRDefault="00A514EC" w:rsidP="369F59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entury Gothic" w:hAnsi="Century Gothic" w:cs="Century Gothic"/>
          <w:b/>
          <w:bCs/>
          <w:color w:val="000000"/>
          <w:lang w:val="es-ES"/>
        </w:rPr>
      </w:pPr>
      <w:r w:rsidRPr="008C6F01">
        <w:rPr>
          <w:rFonts w:ascii="Century Gothic" w:hAnsi="Century Gothic" w:cs="Century Gothic"/>
          <w:b/>
          <w:bCs/>
          <w:color w:val="000000" w:themeColor="text1"/>
          <w:lang w:val="es-ES"/>
        </w:rPr>
        <w:t xml:space="preserve">Más de la mitad de los españoles (52 %) considera la conciliación un factor decisivo para elegir </w:t>
      </w:r>
      <w:r w:rsidR="383814D8" w:rsidRPr="008C6F01">
        <w:rPr>
          <w:rFonts w:ascii="Century Gothic" w:hAnsi="Century Gothic" w:cs="Century Gothic"/>
          <w:b/>
          <w:bCs/>
          <w:color w:val="000000" w:themeColor="text1"/>
          <w:lang w:val="es-ES"/>
        </w:rPr>
        <w:t>a una empresa o</w:t>
      </w:r>
      <w:r w:rsidRPr="008C6F01">
        <w:rPr>
          <w:rFonts w:ascii="Century Gothic" w:hAnsi="Century Gothic" w:cs="Century Gothic"/>
          <w:b/>
          <w:bCs/>
          <w:color w:val="000000" w:themeColor="text1"/>
          <w:lang w:val="es-ES"/>
        </w:rPr>
        <w:t xml:space="preserve"> permanecer en </w:t>
      </w:r>
      <w:r w:rsidR="374C9155" w:rsidRPr="008C6F01">
        <w:rPr>
          <w:rFonts w:ascii="Century Gothic" w:hAnsi="Century Gothic" w:cs="Century Gothic"/>
          <w:b/>
          <w:bCs/>
          <w:color w:val="000000" w:themeColor="text1"/>
          <w:lang w:val="es-ES"/>
        </w:rPr>
        <w:t>ell</w:t>
      </w:r>
      <w:r w:rsidRPr="008C6F01">
        <w:rPr>
          <w:rFonts w:ascii="Century Gothic" w:hAnsi="Century Gothic" w:cs="Century Gothic"/>
          <w:b/>
          <w:bCs/>
          <w:color w:val="000000" w:themeColor="text1"/>
          <w:lang w:val="es-ES"/>
        </w:rPr>
        <w:t>a</w:t>
      </w:r>
      <w:r w:rsidR="002AC8F9" w:rsidRPr="008C6F01">
        <w:rPr>
          <w:rFonts w:ascii="Century Gothic" w:hAnsi="Century Gothic" w:cs="Century Gothic"/>
          <w:b/>
          <w:bCs/>
          <w:color w:val="000000" w:themeColor="text1"/>
          <w:lang w:val="es-ES"/>
        </w:rPr>
        <w:t>.</w:t>
      </w:r>
    </w:p>
    <w:p w14:paraId="4618A9F9" w14:textId="77777777" w:rsidR="00A95D2A" w:rsidRDefault="00A95D2A" w:rsidP="00A95D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Century Gothic" w:hAnsi="Century Gothic" w:cs="Century Gothic"/>
          <w:b/>
          <w:bCs/>
          <w:color w:val="000000"/>
          <w:lang w:val="es-ES"/>
        </w:rPr>
      </w:pPr>
    </w:p>
    <w:p w14:paraId="3DD4C914" w14:textId="77777777" w:rsidR="005D09EE" w:rsidRPr="00833D4F" w:rsidRDefault="005D09EE" w:rsidP="4C5193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lang w:val="es-ES"/>
        </w:rPr>
      </w:pPr>
    </w:p>
    <w:p w14:paraId="40D2C0ED" w14:textId="6BA7E2C4" w:rsidR="00D60657" w:rsidRDefault="00D60657" w:rsidP="00D60657">
      <w:pPr>
        <w:jc w:val="both"/>
        <w:rPr>
          <w:rFonts w:ascii="Century Gothic" w:eastAsia="Century Gothic" w:hAnsi="Century Gothic" w:cs="Century Gothic"/>
          <w:color w:val="000000"/>
          <w:lang w:val="es-ES"/>
        </w:rPr>
      </w:pPr>
      <w:r w:rsidRPr="4C519343">
        <w:rPr>
          <w:rFonts w:ascii="Century Gothic" w:eastAsia="Century Gothic" w:hAnsi="Century Gothic" w:cs="Century Gothic"/>
          <w:color w:val="000000" w:themeColor="text1"/>
          <w:lang w:val="es-ES"/>
        </w:rPr>
        <w:t>El pasado</w:t>
      </w:r>
      <w:r w:rsidR="32194533" w:rsidRPr="4C519343">
        <w:rPr>
          <w:rFonts w:ascii="Century Gothic" w:eastAsia="Century Gothic" w:hAnsi="Century Gothic" w:cs="Century Gothic"/>
          <w:color w:val="000000" w:themeColor="text1"/>
          <w:lang w:val="es-ES"/>
        </w:rPr>
        <w:t xml:space="preserve"> </w:t>
      </w:r>
      <w:r w:rsidR="06500D15" w:rsidRPr="4C519343">
        <w:rPr>
          <w:rFonts w:ascii="Century Gothic" w:eastAsia="Century Gothic" w:hAnsi="Century Gothic" w:cs="Century Gothic"/>
          <w:color w:val="000000" w:themeColor="text1"/>
          <w:lang w:val="es-ES"/>
        </w:rPr>
        <w:t>13 d</w:t>
      </w:r>
      <w:r w:rsidRPr="4C519343">
        <w:rPr>
          <w:rFonts w:ascii="Century Gothic" w:eastAsia="Century Gothic" w:hAnsi="Century Gothic" w:cs="Century Gothic"/>
          <w:color w:val="000000" w:themeColor="text1"/>
          <w:lang w:val="es-ES"/>
        </w:rPr>
        <w:t>e</w:t>
      </w:r>
      <w:r w:rsidR="6741401F" w:rsidRPr="4C519343">
        <w:rPr>
          <w:rFonts w:ascii="Century Gothic" w:eastAsia="Century Gothic" w:hAnsi="Century Gothic" w:cs="Century Gothic"/>
          <w:color w:val="000000" w:themeColor="text1"/>
          <w:lang w:val="es-ES"/>
        </w:rPr>
        <w:t xml:space="preserve"> noviembre</w:t>
      </w:r>
      <w:r w:rsidRPr="4C519343">
        <w:rPr>
          <w:rFonts w:ascii="Century Gothic" w:eastAsia="Century Gothic" w:hAnsi="Century Gothic" w:cs="Century Gothic"/>
          <w:color w:val="000000" w:themeColor="text1"/>
          <w:lang w:val="es-ES"/>
        </w:rPr>
        <w:t xml:space="preserve">, el Congreso aprobó la nueva </w:t>
      </w:r>
      <w:r w:rsidRPr="4C519343">
        <w:rPr>
          <w:rFonts w:ascii="Century Gothic" w:eastAsia="Century Gothic" w:hAnsi="Century Gothic" w:cs="Century Gothic"/>
          <w:b/>
          <w:bCs/>
          <w:color w:val="000000" w:themeColor="text1"/>
          <w:lang w:val="es-ES"/>
        </w:rPr>
        <w:t>Ley de Movilidad Sostenible</w:t>
      </w:r>
      <w:r w:rsidRPr="4C519343">
        <w:rPr>
          <w:rFonts w:ascii="Century Gothic" w:eastAsia="Century Gothic" w:hAnsi="Century Gothic" w:cs="Century Gothic"/>
          <w:color w:val="000000" w:themeColor="text1"/>
          <w:lang w:val="es-ES"/>
        </w:rPr>
        <w:t>, que reconoce la movilidad como un derecho ciudadano e introduce la obligación para las empresas de elaborar planes</w:t>
      </w:r>
      <w:r w:rsidR="2DD14E72" w:rsidRPr="4C519343">
        <w:rPr>
          <w:rFonts w:ascii="Century Gothic" w:eastAsia="Century Gothic" w:hAnsi="Century Gothic" w:cs="Century Gothic"/>
          <w:color w:val="000000" w:themeColor="text1"/>
          <w:lang w:val="es-ES"/>
        </w:rPr>
        <w:t xml:space="preserve"> de movilidad</w:t>
      </w:r>
      <w:r w:rsidRPr="4C519343">
        <w:rPr>
          <w:rFonts w:ascii="Century Gothic" w:eastAsia="Century Gothic" w:hAnsi="Century Gothic" w:cs="Century Gothic"/>
          <w:color w:val="000000" w:themeColor="text1"/>
          <w:lang w:val="es-ES"/>
        </w:rPr>
        <w:t xml:space="preserve"> </w:t>
      </w:r>
      <w:r w:rsidR="695CCEFC" w:rsidRPr="4C519343">
        <w:rPr>
          <w:rFonts w:ascii="Century Gothic" w:eastAsia="Century Gothic" w:hAnsi="Century Gothic" w:cs="Century Gothic"/>
          <w:color w:val="000000" w:themeColor="text1"/>
          <w:lang w:val="es-ES"/>
        </w:rPr>
        <w:t xml:space="preserve">sostenible </w:t>
      </w:r>
      <w:r w:rsidR="50EFDBEC" w:rsidRPr="4C519343">
        <w:rPr>
          <w:rFonts w:ascii="Century Gothic" w:eastAsia="Century Gothic" w:hAnsi="Century Gothic" w:cs="Century Gothic"/>
          <w:color w:val="000000" w:themeColor="text1"/>
          <w:lang w:val="es-ES"/>
        </w:rPr>
        <w:t>(</w:t>
      </w:r>
      <w:r w:rsidR="695CCEFC" w:rsidRPr="4C519343">
        <w:rPr>
          <w:rFonts w:ascii="Century Gothic" w:eastAsia="Century Gothic" w:hAnsi="Century Gothic" w:cs="Century Gothic"/>
          <w:color w:val="000000" w:themeColor="text1"/>
          <w:lang w:val="es-ES"/>
        </w:rPr>
        <w:t>al trabajo</w:t>
      </w:r>
      <w:r w:rsidR="654E381F" w:rsidRPr="4C519343">
        <w:rPr>
          <w:rFonts w:ascii="Century Gothic" w:eastAsia="Century Gothic" w:hAnsi="Century Gothic" w:cs="Century Gothic"/>
          <w:color w:val="000000" w:themeColor="text1"/>
          <w:lang w:val="es-ES"/>
        </w:rPr>
        <w:t xml:space="preserve">) </w:t>
      </w:r>
      <w:r w:rsidRPr="4C519343">
        <w:rPr>
          <w:rFonts w:ascii="Century Gothic" w:eastAsia="Century Gothic" w:hAnsi="Century Gothic" w:cs="Century Gothic"/>
          <w:color w:val="000000" w:themeColor="text1"/>
          <w:lang w:val="es-ES"/>
        </w:rPr>
        <w:t xml:space="preserve">que impulsen formas de desplazamiento más </w:t>
      </w:r>
      <w:r w:rsidR="128CF391" w:rsidRPr="4C519343">
        <w:rPr>
          <w:rFonts w:ascii="Century Gothic" w:eastAsia="Century Gothic" w:hAnsi="Century Gothic" w:cs="Century Gothic"/>
          <w:color w:val="000000" w:themeColor="text1"/>
          <w:lang w:val="es-ES"/>
        </w:rPr>
        <w:t>eficientes y con menor impacto ambiental</w:t>
      </w:r>
      <w:r w:rsidRPr="4C519343">
        <w:rPr>
          <w:rFonts w:ascii="Century Gothic" w:eastAsia="Century Gothic" w:hAnsi="Century Gothic" w:cs="Century Gothic"/>
          <w:color w:val="000000" w:themeColor="text1"/>
          <w:lang w:val="es-ES"/>
        </w:rPr>
        <w:t>: a pie, en bicicleta, en transporte público o mediante coche compartido. Una medida que puede tener un impacto directo en el bienestar y la conciliación de los equipos.</w:t>
      </w:r>
    </w:p>
    <w:p w14:paraId="1D8002FE" w14:textId="77777777" w:rsidR="00A446DD" w:rsidRPr="00D60657" w:rsidRDefault="00A446DD" w:rsidP="00D60657">
      <w:pPr>
        <w:jc w:val="both"/>
        <w:rPr>
          <w:rFonts w:ascii="Century Gothic" w:eastAsia="Century Gothic" w:hAnsi="Century Gothic" w:cs="Century Gothic"/>
          <w:color w:val="000000"/>
          <w:lang w:val="es-ES"/>
        </w:rPr>
      </w:pPr>
    </w:p>
    <w:p w14:paraId="2CF748BE" w14:textId="2D354F6C" w:rsidR="00F43594" w:rsidRDefault="00D60657" w:rsidP="00F43594">
      <w:pPr>
        <w:jc w:val="both"/>
        <w:rPr>
          <w:rFonts w:ascii="Century Gothic" w:hAnsi="Century Gothic" w:cs="Century Gothic"/>
          <w:b/>
          <w:bCs/>
          <w:color w:val="000000"/>
          <w:lang w:val="es-ES"/>
        </w:rPr>
      </w:pPr>
      <w:r w:rsidRPr="00D60657">
        <w:rPr>
          <w:rFonts w:ascii="Century Gothic" w:eastAsia="Century Gothic" w:hAnsi="Century Gothic" w:cs="Century Gothic"/>
          <w:color w:val="000000"/>
          <w:lang w:val="es-ES"/>
        </w:rPr>
        <w:t xml:space="preserve">Según el último </w:t>
      </w:r>
      <w:r w:rsidRPr="00D60657">
        <w:rPr>
          <w:rFonts w:ascii="Century Gothic" w:eastAsia="Century Gothic" w:hAnsi="Century Gothic" w:cs="Century Gothic"/>
          <w:b/>
          <w:bCs/>
          <w:color w:val="000000"/>
          <w:lang w:val="es-ES"/>
        </w:rPr>
        <w:t xml:space="preserve">Estudio de </w:t>
      </w:r>
      <w:r w:rsidR="00A446DD">
        <w:rPr>
          <w:rFonts w:ascii="Century Gothic" w:eastAsia="Century Gothic" w:hAnsi="Century Gothic" w:cs="Century Gothic"/>
          <w:b/>
          <w:bCs/>
          <w:color w:val="000000"/>
          <w:lang w:val="es-ES"/>
        </w:rPr>
        <w:t xml:space="preserve">Bienestar y Salud laboral </w:t>
      </w:r>
      <w:r w:rsidRPr="00D60657">
        <w:rPr>
          <w:rFonts w:ascii="Century Gothic" w:eastAsia="Century Gothic" w:hAnsi="Century Gothic" w:cs="Century Gothic"/>
          <w:b/>
          <w:bCs/>
          <w:color w:val="000000"/>
          <w:lang w:val="es-ES"/>
        </w:rPr>
        <w:t>de Edenred</w:t>
      </w:r>
      <w:r w:rsidRPr="00D60657">
        <w:rPr>
          <w:rFonts w:ascii="Century Gothic" w:eastAsia="Century Gothic" w:hAnsi="Century Gothic" w:cs="Century Gothic"/>
          <w:color w:val="000000"/>
          <w:lang w:val="es-ES"/>
        </w:rPr>
        <w:t>,</w:t>
      </w:r>
      <w:r w:rsidR="00C53F92">
        <w:rPr>
          <w:rFonts w:ascii="Century Gothic" w:eastAsia="Century Gothic" w:hAnsi="Century Gothic" w:cs="Century Gothic"/>
          <w:color w:val="000000"/>
          <w:lang w:val="es-ES"/>
        </w:rPr>
        <w:t xml:space="preserve"> </w:t>
      </w:r>
      <w:r w:rsidR="00F964D3" w:rsidRPr="008C6F01">
        <w:rPr>
          <w:rFonts w:ascii="Century Gothic" w:eastAsia="Century Gothic" w:hAnsi="Century Gothic" w:cs="Century Gothic"/>
          <w:color w:val="000000"/>
          <w:lang w:val="es-ES"/>
        </w:rPr>
        <w:t xml:space="preserve">plataforma digital </w:t>
      </w:r>
      <w:proofErr w:type="spellStart"/>
      <w:r w:rsidR="00F964D3" w:rsidRPr="008C6F01">
        <w:rPr>
          <w:rFonts w:ascii="Century Gothic" w:eastAsia="Century Gothic" w:hAnsi="Century Gothic" w:cs="Century Gothic"/>
          <w:color w:val="000000"/>
          <w:lang w:val="es-ES"/>
        </w:rPr>
        <w:t>multisolución</w:t>
      </w:r>
      <w:proofErr w:type="spellEnd"/>
      <w:r w:rsidR="00F964D3" w:rsidRPr="008C6F01">
        <w:rPr>
          <w:rFonts w:ascii="Century Gothic" w:eastAsia="Century Gothic" w:hAnsi="Century Gothic" w:cs="Century Gothic"/>
          <w:color w:val="000000"/>
          <w:lang w:val="es-ES"/>
        </w:rPr>
        <w:t xml:space="preserve"> especializada en beneficios sociales y </w:t>
      </w:r>
      <w:proofErr w:type="spellStart"/>
      <w:r w:rsidR="00F964D3" w:rsidRPr="008C6F01">
        <w:rPr>
          <w:rFonts w:ascii="Century Gothic" w:eastAsia="Century Gothic" w:hAnsi="Century Gothic" w:cs="Century Gothic"/>
          <w:color w:val="000000"/>
          <w:lang w:val="es-ES"/>
        </w:rPr>
        <w:t>employee</w:t>
      </w:r>
      <w:proofErr w:type="spellEnd"/>
      <w:r w:rsidR="00F964D3" w:rsidRPr="008C6F01">
        <w:rPr>
          <w:rFonts w:ascii="Century Gothic" w:eastAsia="Century Gothic" w:hAnsi="Century Gothic" w:cs="Century Gothic"/>
          <w:color w:val="000000"/>
          <w:lang w:val="es-ES"/>
        </w:rPr>
        <w:t xml:space="preserve"> </w:t>
      </w:r>
      <w:proofErr w:type="spellStart"/>
      <w:r w:rsidR="00F964D3" w:rsidRPr="008C6F01">
        <w:rPr>
          <w:rFonts w:ascii="Century Gothic" w:eastAsia="Century Gothic" w:hAnsi="Century Gothic" w:cs="Century Gothic"/>
          <w:color w:val="000000"/>
          <w:lang w:val="es-ES"/>
        </w:rPr>
        <w:t>engagement</w:t>
      </w:r>
      <w:proofErr w:type="spellEnd"/>
      <w:r w:rsidR="00F964D3" w:rsidRPr="008C6F01">
        <w:rPr>
          <w:rFonts w:ascii="Century Gothic" w:eastAsia="Century Gothic" w:hAnsi="Century Gothic" w:cs="Century Gothic"/>
          <w:color w:val="000000"/>
          <w:lang w:val="es-ES"/>
        </w:rPr>
        <w:t>,</w:t>
      </w:r>
      <w:r w:rsidR="00A446DD">
        <w:rPr>
          <w:rFonts w:ascii="Century Gothic" w:eastAsia="Century Gothic" w:hAnsi="Century Gothic" w:cs="Century Gothic"/>
          <w:color w:val="000000"/>
          <w:lang w:val="es-ES"/>
        </w:rPr>
        <w:t xml:space="preserve"> junto a Savia,</w:t>
      </w:r>
      <w:r w:rsidR="00F43594" w:rsidRPr="00F43594">
        <w:rPr>
          <w:rFonts w:ascii="Century Gothic" w:hAnsi="Century Gothic" w:cs="Century Gothic"/>
          <w:b/>
          <w:bCs/>
          <w:color w:val="000000"/>
          <w:lang w:val="es-ES"/>
        </w:rPr>
        <w:t xml:space="preserve"> el 62,4 % </w:t>
      </w:r>
      <w:r w:rsidR="00F43594" w:rsidRPr="00F43594">
        <w:rPr>
          <w:rFonts w:ascii="Century Gothic" w:hAnsi="Century Gothic" w:cs="Century Gothic"/>
          <w:color w:val="000000"/>
          <w:lang w:val="es-ES"/>
        </w:rPr>
        <w:t>de los profesionales españoles</w:t>
      </w:r>
      <w:r w:rsidR="00F43594" w:rsidRPr="00F43594">
        <w:rPr>
          <w:rFonts w:ascii="Century Gothic" w:hAnsi="Century Gothic" w:cs="Century Gothic"/>
          <w:b/>
          <w:bCs/>
          <w:color w:val="000000"/>
          <w:lang w:val="es-ES"/>
        </w:rPr>
        <w:t xml:space="preserve"> considera que el desplazamiento a su lugar de trabajo supone una barrera directa para la conciliación entre su vida personal y profesional. </w:t>
      </w:r>
      <w:r w:rsidR="00F43594" w:rsidRPr="00E87CFB">
        <w:rPr>
          <w:rFonts w:ascii="Century Gothic" w:hAnsi="Century Gothic" w:cs="Century Gothic"/>
          <w:color w:val="000000"/>
          <w:lang w:val="es-ES"/>
        </w:rPr>
        <w:t>Esta percepción es todavía mayor entre las mujeres, donde alcanza el 65,1 %, frente al 59,9 % de los hombres.</w:t>
      </w:r>
    </w:p>
    <w:p w14:paraId="600B879D" w14:textId="77777777" w:rsidR="00F43594" w:rsidRPr="00F43594" w:rsidRDefault="00F43594" w:rsidP="00F43594">
      <w:pPr>
        <w:jc w:val="both"/>
        <w:rPr>
          <w:rFonts w:ascii="Century Gothic" w:hAnsi="Century Gothic" w:cs="Century Gothic"/>
          <w:b/>
          <w:bCs/>
          <w:color w:val="000000"/>
          <w:lang w:val="es-ES"/>
        </w:rPr>
      </w:pPr>
    </w:p>
    <w:p w14:paraId="1A4F55D9" w14:textId="034DF134" w:rsidR="001D2A91" w:rsidRPr="008C6F01" w:rsidRDefault="000A4CBF" w:rsidP="00F43594">
      <w:pPr>
        <w:jc w:val="both"/>
        <w:rPr>
          <w:rFonts w:ascii="Century Gothic" w:eastAsia="Century Gothic" w:hAnsi="Century Gothic" w:cs="Century Gothic"/>
          <w:color w:val="000000"/>
          <w:lang w:val="es-ES"/>
        </w:rPr>
      </w:pPr>
      <w:r w:rsidRPr="008C6F01">
        <w:rPr>
          <w:rFonts w:ascii="Century Gothic" w:eastAsia="Century Gothic" w:hAnsi="Century Gothic" w:cs="Century Gothic"/>
          <w:color w:val="000000"/>
          <w:lang w:val="es-ES"/>
        </w:rPr>
        <w:t xml:space="preserve">El mapa territorial refuerza esta realidad. </w:t>
      </w:r>
      <w:r w:rsidRPr="008C6F01">
        <w:rPr>
          <w:rFonts w:ascii="Century Gothic" w:eastAsia="Century Gothic" w:hAnsi="Century Gothic" w:cs="Century Gothic"/>
          <w:b/>
          <w:bCs/>
          <w:color w:val="000000"/>
          <w:lang w:val="es-ES"/>
        </w:rPr>
        <w:t>Madrid (69,4 %) y Cataluña (69,0 %)</w:t>
      </w:r>
      <w:r w:rsidRPr="008C6F01">
        <w:rPr>
          <w:rFonts w:ascii="Century Gothic" w:eastAsia="Century Gothic" w:hAnsi="Century Gothic" w:cs="Century Gothic"/>
          <w:color w:val="000000"/>
          <w:lang w:val="es-ES"/>
        </w:rPr>
        <w:t xml:space="preserve"> son los territorios donde el trayecto erosiona más el bienestar diario, seguidos de </w:t>
      </w:r>
      <w:r w:rsidRPr="008C6F01">
        <w:rPr>
          <w:rFonts w:ascii="Century Gothic" w:eastAsia="Century Gothic" w:hAnsi="Century Gothic" w:cs="Century Gothic"/>
          <w:b/>
          <w:bCs/>
          <w:color w:val="000000"/>
          <w:lang w:val="es-ES"/>
        </w:rPr>
        <w:t>Comunidad Valenciana (60,9 %)</w:t>
      </w:r>
      <w:r w:rsidRPr="008C6F01">
        <w:rPr>
          <w:rFonts w:ascii="Century Gothic" w:eastAsia="Century Gothic" w:hAnsi="Century Gothic" w:cs="Century Gothic"/>
          <w:color w:val="000000"/>
          <w:lang w:val="es-ES"/>
        </w:rPr>
        <w:t xml:space="preserve"> y </w:t>
      </w:r>
      <w:r w:rsidRPr="008C6F01">
        <w:rPr>
          <w:rFonts w:ascii="Century Gothic" w:eastAsia="Century Gothic" w:hAnsi="Century Gothic" w:cs="Century Gothic"/>
          <w:b/>
          <w:bCs/>
          <w:color w:val="000000"/>
          <w:lang w:val="es-ES"/>
        </w:rPr>
        <w:t>Andalucía (57,7 %)</w:t>
      </w:r>
      <w:r w:rsidRPr="008C6F01">
        <w:rPr>
          <w:rFonts w:ascii="Century Gothic" w:eastAsia="Century Gothic" w:hAnsi="Century Gothic" w:cs="Century Gothic"/>
          <w:color w:val="000000"/>
          <w:lang w:val="es-ES"/>
        </w:rPr>
        <w:t>.</w:t>
      </w:r>
    </w:p>
    <w:p w14:paraId="1227EDB9" w14:textId="77777777" w:rsidR="000A4CBF" w:rsidRDefault="000A4CBF" w:rsidP="00F43594">
      <w:pPr>
        <w:jc w:val="both"/>
        <w:rPr>
          <w:rFonts w:ascii="Century Gothic" w:eastAsia="Century Gothic" w:hAnsi="Century Gothic" w:cs="Century Gothic"/>
          <w:b/>
          <w:bCs/>
          <w:color w:val="000000"/>
          <w:lang w:val="es-ES"/>
        </w:rPr>
      </w:pPr>
    </w:p>
    <w:p w14:paraId="696B0111" w14:textId="47F7ADAF" w:rsidR="00A12632" w:rsidRPr="008C6F01" w:rsidRDefault="00F43594" w:rsidP="00F43594">
      <w:pPr>
        <w:jc w:val="both"/>
        <w:rPr>
          <w:rFonts w:ascii="Century Gothic" w:eastAsia="Century Gothic" w:hAnsi="Century Gothic" w:cs="Century Gothic"/>
          <w:color w:val="000000"/>
          <w:lang w:val="es-ES"/>
        </w:rPr>
      </w:pPr>
      <w:r w:rsidRPr="369F593A">
        <w:rPr>
          <w:rFonts w:ascii="Century Gothic" w:eastAsia="Century Gothic" w:hAnsi="Century Gothic" w:cs="Century Gothic"/>
          <w:color w:val="000000" w:themeColor="text1"/>
          <w:lang w:val="es-ES"/>
        </w:rPr>
        <w:t xml:space="preserve">Por generaciones, las más jóvenes son las que más sufren esta situación: </w:t>
      </w:r>
      <w:r w:rsidRPr="369F593A">
        <w:rPr>
          <w:rFonts w:ascii="Century Gothic" w:eastAsia="Century Gothic" w:hAnsi="Century Gothic" w:cs="Century Gothic"/>
          <w:b/>
          <w:bCs/>
          <w:color w:val="000000" w:themeColor="text1"/>
          <w:lang w:val="es-ES"/>
        </w:rPr>
        <w:t>siete de cada diez personas de la Generación Z (70 %)</w:t>
      </w:r>
      <w:r w:rsidRPr="369F593A">
        <w:rPr>
          <w:rFonts w:ascii="Century Gothic" w:eastAsia="Century Gothic" w:hAnsi="Century Gothic" w:cs="Century Gothic"/>
          <w:color w:val="000000" w:themeColor="text1"/>
          <w:lang w:val="es-ES"/>
        </w:rPr>
        <w:t xml:space="preserve"> y el </w:t>
      </w:r>
      <w:r w:rsidRPr="369F593A">
        <w:rPr>
          <w:rFonts w:ascii="Century Gothic" w:eastAsia="Century Gothic" w:hAnsi="Century Gothic" w:cs="Century Gothic"/>
          <w:b/>
          <w:bCs/>
          <w:color w:val="000000" w:themeColor="text1"/>
          <w:lang w:val="es-ES"/>
        </w:rPr>
        <w:t xml:space="preserve">68,5 % de los </w:t>
      </w:r>
      <w:r w:rsidR="001D2A91" w:rsidRPr="369F593A">
        <w:rPr>
          <w:rFonts w:ascii="Century Gothic" w:eastAsia="Century Gothic" w:hAnsi="Century Gothic" w:cs="Century Gothic"/>
          <w:b/>
          <w:bCs/>
          <w:color w:val="000000" w:themeColor="text1"/>
          <w:lang w:val="es-ES"/>
        </w:rPr>
        <w:t>M</w:t>
      </w:r>
      <w:r w:rsidRPr="369F593A">
        <w:rPr>
          <w:rFonts w:ascii="Century Gothic" w:eastAsia="Century Gothic" w:hAnsi="Century Gothic" w:cs="Century Gothic"/>
          <w:b/>
          <w:bCs/>
          <w:color w:val="000000" w:themeColor="text1"/>
          <w:lang w:val="es-ES"/>
        </w:rPr>
        <w:t xml:space="preserve">illennials jóvenes </w:t>
      </w:r>
      <w:r w:rsidR="001D2A91" w:rsidRPr="369F593A">
        <w:rPr>
          <w:rFonts w:ascii="Century Gothic" w:eastAsia="Century Gothic" w:hAnsi="Century Gothic" w:cs="Century Gothic"/>
          <w:b/>
          <w:bCs/>
          <w:color w:val="000000" w:themeColor="text1"/>
          <w:lang w:val="es-ES"/>
        </w:rPr>
        <w:t>(25-34</w:t>
      </w:r>
      <w:r w:rsidR="663B0077" w:rsidRPr="369F593A">
        <w:rPr>
          <w:rFonts w:ascii="Century Gothic" w:eastAsia="Century Gothic" w:hAnsi="Century Gothic" w:cs="Century Gothic"/>
          <w:b/>
          <w:bCs/>
          <w:color w:val="000000" w:themeColor="text1"/>
          <w:lang w:val="es-ES"/>
        </w:rPr>
        <w:t xml:space="preserve"> años</w:t>
      </w:r>
      <w:r w:rsidR="001D2A91" w:rsidRPr="369F593A">
        <w:rPr>
          <w:rFonts w:ascii="Century Gothic" w:eastAsia="Century Gothic" w:hAnsi="Century Gothic" w:cs="Century Gothic"/>
          <w:b/>
          <w:bCs/>
          <w:color w:val="000000" w:themeColor="text1"/>
          <w:lang w:val="es-ES"/>
        </w:rPr>
        <w:t>)</w:t>
      </w:r>
      <w:r w:rsidR="001D2A91" w:rsidRPr="369F593A">
        <w:rPr>
          <w:rFonts w:ascii="Century Gothic" w:eastAsia="Century Gothic" w:hAnsi="Century Gothic" w:cs="Century Gothic"/>
          <w:color w:val="000000" w:themeColor="text1"/>
          <w:lang w:val="es-ES"/>
        </w:rPr>
        <w:t xml:space="preserve"> </w:t>
      </w:r>
      <w:r w:rsidRPr="369F593A">
        <w:rPr>
          <w:rFonts w:ascii="Century Gothic" w:eastAsia="Century Gothic" w:hAnsi="Century Gothic" w:cs="Century Gothic"/>
          <w:color w:val="000000" w:themeColor="text1"/>
          <w:lang w:val="es-ES"/>
        </w:rPr>
        <w:t>consideran que la distancia al trabajo limita su equilibrio entre la vida profesional y personal.</w:t>
      </w:r>
      <w:r w:rsidR="00FC5675" w:rsidRPr="369F593A">
        <w:rPr>
          <w:rFonts w:ascii="Century Gothic" w:eastAsia="Century Gothic" w:hAnsi="Century Gothic" w:cs="Century Gothic"/>
          <w:color w:val="000000" w:themeColor="text1"/>
          <w:lang w:val="es-ES"/>
        </w:rPr>
        <w:t xml:space="preserve"> </w:t>
      </w:r>
      <w:r w:rsidR="00053526" w:rsidRPr="008C6F01">
        <w:rPr>
          <w:rFonts w:ascii="Century Gothic" w:eastAsia="Century Gothic" w:hAnsi="Century Gothic" w:cs="Century Gothic"/>
          <w:color w:val="000000" w:themeColor="text1"/>
          <w:lang w:val="es-ES"/>
        </w:rPr>
        <w:t xml:space="preserve">Tras ellos, </w:t>
      </w:r>
      <w:r w:rsidR="00053526" w:rsidRPr="008C6F01">
        <w:rPr>
          <w:rFonts w:ascii="Century Gothic" w:eastAsia="Century Gothic" w:hAnsi="Century Gothic" w:cs="Century Gothic"/>
          <w:b/>
          <w:bCs/>
          <w:color w:val="000000" w:themeColor="text1"/>
          <w:lang w:val="es-ES"/>
        </w:rPr>
        <w:t xml:space="preserve">los </w:t>
      </w:r>
      <w:proofErr w:type="spellStart"/>
      <w:r w:rsidR="00053526" w:rsidRPr="008C6F01">
        <w:rPr>
          <w:rFonts w:ascii="Century Gothic" w:eastAsia="Century Gothic" w:hAnsi="Century Gothic" w:cs="Century Gothic"/>
          <w:b/>
          <w:bCs/>
          <w:color w:val="000000" w:themeColor="text1"/>
          <w:lang w:val="es-ES"/>
        </w:rPr>
        <w:t>millennials</w:t>
      </w:r>
      <w:proofErr w:type="spellEnd"/>
      <w:r w:rsidR="00053526" w:rsidRPr="008C6F01">
        <w:rPr>
          <w:rFonts w:ascii="Century Gothic" w:eastAsia="Century Gothic" w:hAnsi="Century Gothic" w:cs="Century Gothic"/>
          <w:b/>
          <w:bCs/>
          <w:color w:val="000000" w:themeColor="text1"/>
          <w:lang w:val="es-ES"/>
        </w:rPr>
        <w:t xml:space="preserve"> mayores (35-44 años) se sitúan en el 67,62 %</w:t>
      </w:r>
      <w:r w:rsidR="00053526" w:rsidRPr="008C6F01">
        <w:rPr>
          <w:rFonts w:ascii="Century Gothic" w:eastAsia="Century Gothic" w:hAnsi="Century Gothic" w:cs="Century Gothic"/>
          <w:color w:val="000000" w:themeColor="text1"/>
          <w:lang w:val="es-ES"/>
        </w:rPr>
        <w:t xml:space="preserve">. Con el paso del tiempo, el peso relativo del desplazamiento y la conciliación tiende a moderarse: </w:t>
      </w:r>
      <w:r w:rsidR="00053526" w:rsidRPr="008C6F01">
        <w:rPr>
          <w:rFonts w:ascii="Century Gothic" w:eastAsia="Century Gothic" w:hAnsi="Century Gothic" w:cs="Century Gothic"/>
          <w:b/>
          <w:bCs/>
          <w:color w:val="000000" w:themeColor="text1"/>
          <w:lang w:val="es-ES"/>
        </w:rPr>
        <w:t xml:space="preserve">Baby </w:t>
      </w:r>
      <w:proofErr w:type="spellStart"/>
      <w:r w:rsidR="00053526" w:rsidRPr="008C6F01">
        <w:rPr>
          <w:rFonts w:ascii="Century Gothic" w:eastAsia="Century Gothic" w:hAnsi="Century Gothic" w:cs="Century Gothic"/>
          <w:b/>
          <w:bCs/>
          <w:color w:val="000000" w:themeColor="text1"/>
          <w:lang w:val="es-ES"/>
        </w:rPr>
        <w:t>Boomers</w:t>
      </w:r>
      <w:proofErr w:type="spellEnd"/>
      <w:r w:rsidR="00053526" w:rsidRPr="008C6F01">
        <w:rPr>
          <w:rFonts w:ascii="Century Gothic" w:eastAsia="Century Gothic" w:hAnsi="Century Gothic" w:cs="Century Gothic"/>
          <w:b/>
          <w:bCs/>
          <w:color w:val="000000" w:themeColor="text1"/>
          <w:lang w:val="es-ES"/>
        </w:rPr>
        <w:t xml:space="preserve"> (55-60 años), 62,59 %</w:t>
      </w:r>
      <w:r w:rsidR="00053526" w:rsidRPr="008C6F01">
        <w:rPr>
          <w:rFonts w:ascii="Century Gothic" w:eastAsia="Century Gothic" w:hAnsi="Century Gothic" w:cs="Century Gothic"/>
          <w:color w:val="000000" w:themeColor="text1"/>
          <w:lang w:val="es-ES"/>
        </w:rPr>
        <w:t xml:space="preserve">, y </w:t>
      </w:r>
      <w:r w:rsidR="00053526" w:rsidRPr="008C6F01">
        <w:rPr>
          <w:rFonts w:ascii="Century Gothic" w:eastAsia="Century Gothic" w:hAnsi="Century Gothic" w:cs="Century Gothic"/>
          <w:b/>
          <w:bCs/>
          <w:color w:val="000000" w:themeColor="text1"/>
          <w:lang w:val="es-ES"/>
        </w:rPr>
        <w:t>Generación X (45-54 años), 52,88 %</w:t>
      </w:r>
      <w:r w:rsidR="00053526" w:rsidRPr="008C6F01">
        <w:rPr>
          <w:rFonts w:ascii="Century Gothic" w:eastAsia="Century Gothic" w:hAnsi="Century Gothic" w:cs="Century Gothic"/>
          <w:color w:val="000000" w:themeColor="text1"/>
          <w:lang w:val="es-ES"/>
        </w:rPr>
        <w:t>.</w:t>
      </w:r>
    </w:p>
    <w:p w14:paraId="4EF139DA" w14:textId="77777777" w:rsidR="00053526" w:rsidRDefault="00053526" w:rsidP="00F43594">
      <w:pPr>
        <w:jc w:val="both"/>
        <w:rPr>
          <w:rFonts w:ascii="Century Gothic" w:eastAsia="Century Gothic" w:hAnsi="Century Gothic" w:cs="Century Gothic"/>
          <w:color w:val="000000"/>
          <w:lang w:val="es-ES"/>
        </w:rPr>
      </w:pPr>
    </w:p>
    <w:p w14:paraId="5E456188" w14:textId="4E56D67A" w:rsidR="001D2A91" w:rsidRPr="008C6F01" w:rsidRDefault="00053526" w:rsidP="00F43594">
      <w:pPr>
        <w:jc w:val="both"/>
        <w:rPr>
          <w:rFonts w:ascii="Century Gothic" w:eastAsia="Century Gothic" w:hAnsi="Century Gothic" w:cs="Century Gothic"/>
          <w:color w:val="000000"/>
          <w:lang w:val="es-ES"/>
        </w:rPr>
      </w:pPr>
      <w:r w:rsidRPr="008C6F01">
        <w:rPr>
          <w:rFonts w:ascii="Century Gothic" w:eastAsia="Century Gothic" w:hAnsi="Century Gothic" w:cs="Century Gothic"/>
          <w:color w:val="000000"/>
          <w:lang w:val="es-ES"/>
        </w:rPr>
        <w:t xml:space="preserve">El </w:t>
      </w:r>
      <w:r w:rsidRPr="008C6F01">
        <w:rPr>
          <w:rFonts w:ascii="Century Gothic" w:eastAsia="Century Gothic" w:hAnsi="Century Gothic" w:cs="Century Gothic"/>
          <w:b/>
          <w:bCs/>
          <w:color w:val="000000"/>
          <w:lang w:val="es-ES"/>
        </w:rPr>
        <w:t>tamaño de compañía</w:t>
      </w:r>
      <w:r w:rsidRPr="008C6F01">
        <w:rPr>
          <w:rFonts w:ascii="Century Gothic" w:eastAsia="Century Gothic" w:hAnsi="Century Gothic" w:cs="Century Gothic"/>
          <w:color w:val="000000"/>
          <w:lang w:val="es-ES"/>
        </w:rPr>
        <w:t xml:space="preserve"> también marca diferencias. </w:t>
      </w:r>
      <w:r w:rsidRPr="008C6F01">
        <w:rPr>
          <w:rFonts w:ascii="Century Gothic" w:eastAsia="Century Gothic" w:hAnsi="Century Gothic" w:cs="Century Gothic"/>
          <w:b/>
          <w:bCs/>
          <w:color w:val="000000"/>
          <w:lang w:val="es-ES"/>
        </w:rPr>
        <w:t>En multinacionales (+1.000 empleados)</w:t>
      </w:r>
      <w:r w:rsidRPr="008C6F01">
        <w:rPr>
          <w:rFonts w:ascii="Century Gothic" w:eastAsia="Century Gothic" w:hAnsi="Century Gothic" w:cs="Century Gothic"/>
          <w:color w:val="000000"/>
          <w:lang w:val="es-ES"/>
        </w:rPr>
        <w:t xml:space="preserve">, el </w:t>
      </w:r>
      <w:r w:rsidRPr="008C6F01">
        <w:rPr>
          <w:rFonts w:ascii="Century Gothic" w:eastAsia="Century Gothic" w:hAnsi="Century Gothic" w:cs="Century Gothic"/>
          <w:b/>
          <w:bCs/>
          <w:color w:val="000000"/>
          <w:lang w:val="es-ES"/>
        </w:rPr>
        <w:t>68,36 %</w:t>
      </w:r>
      <w:r w:rsidRPr="008C6F01">
        <w:rPr>
          <w:rFonts w:ascii="Century Gothic" w:eastAsia="Century Gothic" w:hAnsi="Century Gothic" w:cs="Century Gothic"/>
          <w:color w:val="000000"/>
          <w:lang w:val="es-ES"/>
        </w:rPr>
        <w:t xml:space="preserve"> del talento considera que la distancia al trabajo limita su equilibrio, mientras que </w:t>
      </w:r>
      <w:r w:rsidRPr="008C6F01">
        <w:rPr>
          <w:rFonts w:ascii="Century Gothic" w:eastAsia="Century Gothic" w:hAnsi="Century Gothic" w:cs="Century Gothic"/>
          <w:b/>
          <w:bCs/>
          <w:color w:val="000000"/>
          <w:lang w:val="es-ES"/>
        </w:rPr>
        <w:t>en microempresas (1-9 empleados)</w:t>
      </w:r>
      <w:r w:rsidRPr="008C6F01">
        <w:rPr>
          <w:rFonts w:ascii="Century Gothic" w:eastAsia="Century Gothic" w:hAnsi="Century Gothic" w:cs="Century Gothic"/>
          <w:color w:val="000000"/>
          <w:lang w:val="es-ES"/>
        </w:rPr>
        <w:t xml:space="preserve"> el porcentaje desciende al </w:t>
      </w:r>
      <w:r w:rsidRPr="008C6F01">
        <w:rPr>
          <w:rFonts w:ascii="Century Gothic" w:eastAsia="Century Gothic" w:hAnsi="Century Gothic" w:cs="Century Gothic"/>
          <w:b/>
          <w:bCs/>
          <w:color w:val="000000"/>
          <w:lang w:val="es-ES"/>
        </w:rPr>
        <w:t>57,96 %</w:t>
      </w:r>
      <w:r w:rsidRPr="008C6F01">
        <w:rPr>
          <w:rFonts w:ascii="Century Gothic" w:eastAsia="Century Gothic" w:hAnsi="Century Gothic" w:cs="Century Gothic"/>
          <w:color w:val="000000"/>
          <w:lang w:val="es-ES"/>
        </w:rPr>
        <w:t>, aunque sigue siendo mayoritario.</w:t>
      </w:r>
    </w:p>
    <w:p w14:paraId="61D0102B" w14:textId="77777777" w:rsidR="00053526" w:rsidRDefault="00053526" w:rsidP="00F43594">
      <w:pPr>
        <w:jc w:val="both"/>
        <w:rPr>
          <w:rFonts w:ascii="Century Gothic" w:eastAsia="Century Gothic" w:hAnsi="Century Gothic" w:cs="Century Gothic"/>
          <w:color w:val="000000"/>
          <w:lang w:val="es-ES"/>
        </w:rPr>
      </w:pPr>
    </w:p>
    <w:p w14:paraId="00F81559" w14:textId="6F41E8DE" w:rsidR="008F64D6" w:rsidRPr="008C6F01" w:rsidRDefault="008F64D6" w:rsidP="00F43594">
      <w:pPr>
        <w:jc w:val="both"/>
        <w:rPr>
          <w:rFonts w:ascii="Century Gothic" w:eastAsia="Century Gothic" w:hAnsi="Century Gothic" w:cs="Century Gothic"/>
          <w:b/>
          <w:bCs/>
          <w:color w:val="000000"/>
          <w:sz w:val="22"/>
          <w:szCs w:val="22"/>
          <w:lang w:val="es-ES"/>
        </w:rPr>
      </w:pPr>
      <w:r w:rsidRPr="008C6F01">
        <w:rPr>
          <w:rFonts w:ascii="Century Gothic" w:eastAsia="Century Gothic" w:hAnsi="Century Gothic" w:cs="Century Gothic"/>
          <w:b/>
          <w:bCs/>
          <w:color w:val="000000"/>
          <w:sz w:val="22"/>
          <w:szCs w:val="22"/>
          <w:lang w:val="es-ES"/>
        </w:rPr>
        <w:t>La conciliación, cada vez más decisiva al elegir empresa</w:t>
      </w:r>
    </w:p>
    <w:p w14:paraId="78E95D11" w14:textId="77777777" w:rsidR="008F64D6" w:rsidRPr="00F43594" w:rsidRDefault="008F64D6" w:rsidP="00F43594">
      <w:pPr>
        <w:jc w:val="both"/>
        <w:rPr>
          <w:rFonts w:ascii="Century Gothic" w:eastAsia="Century Gothic" w:hAnsi="Century Gothic" w:cs="Century Gothic"/>
          <w:b/>
          <w:bCs/>
          <w:color w:val="000000"/>
          <w:sz w:val="22"/>
          <w:szCs w:val="22"/>
          <w:lang w:val="es-ES"/>
        </w:rPr>
      </w:pPr>
    </w:p>
    <w:p w14:paraId="04D22E97" w14:textId="1AFB361B" w:rsidR="001D2A91" w:rsidRPr="008C6F01" w:rsidRDefault="00F43594" w:rsidP="00F43594">
      <w:pPr>
        <w:jc w:val="both"/>
        <w:rPr>
          <w:rFonts w:ascii="Century Gothic" w:eastAsia="Century Gothic" w:hAnsi="Century Gothic" w:cs="Century Gothic"/>
          <w:color w:val="000000"/>
          <w:lang w:val="es-ES"/>
        </w:rPr>
      </w:pPr>
      <w:r w:rsidRPr="00F43594">
        <w:rPr>
          <w:rFonts w:ascii="Century Gothic" w:eastAsia="Century Gothic" w:hAnsi="Century Gothic" w:cs="Century Gothic"/>
          <w:color w:val="000000"/>
          <w:lang w:val="es-ES"/>
        </w:rPr>
        <w:t>En paralelo, el estudio también muestra que la conciliación se consolida como un factor decisivo a la hora de elegir o permanecer en una empresa.</w:t>
      </w:r>
      <w:r w:rsidRPr="00F43594">
        <w:rPr>
          <w:rFonts w:ascii="Century Gothic" w:eastAsia="Century Gothic" w:hAnsi="Century Gothic" w:cs="Century Gothic"/>
          <w:b/>
          <w:bCs/>
          <w:color w:val="000000"/>
          <w:lang w:val="es-ES"/>
        </w:rPr>
        <w:t xml:space="preserve"> </w:t>
      </w:r>
      <w:r w:rsidRPr="00F43594">
        <w:rPr>
          <w:rFonts w:ascii="Century Gothic" w:eastAsia="Century Gothic" w:hAnsi="Century Gothic" w:cs="Century Gothic"/>
          <w:color w:val="000000"/>
          <w:lang w:val="es-ES"/>
        </w:rPr>
        <w:t>Para</w:t>
      </w:r>
      <w:r w:rsidRPr="00F43594">
        <w:rPr>
          <w:rFonts w:ascii="Century Gothic" w:eastAsia="Century Gothic" w:hAnsi="Century Gothic" w:cs="Century Gothic"/>
          <w:b/>
          <w:bCs/>
          <w:color w:val="000000"/>
          <w:lang w:val="es-ES"/>
        </w:rPr>
        <w:t xml:space="preserve"> el </w:t>
      </w:r>
      <w:r w:rsidR="00A514EC">
        <w:rPr>
          <w:rFonts w:ascii="Century Gothic" w:eastAsia="Century Gothic" w:hAnsi="Century Gothic" w:cs="Century Gothic"/>
          <w:b/>
          <w:bCs/>
          <w:color w:val="000000"/>
          <w:lang w:val="es-ES"/>
        </w:rPr>
        <w:t>52</w:t>
      </w:r>
      <w:r w:rsidRPr="00F43594">
        <w:rPr>
          <w:rFonts w:ascii="Century Gothic" w:eastAsia="Century Gothic" w:hAnsi="Century Gothic" w:cs="Century Gothic"/>
          <w:b/>
          <w:bCs/>
          <w:color w:val="000000"/>
          <w:lang w:val="es-ES"/>
        </w:rPr>
        <w:t xml:space="preserve"> % de los </w:t>
      </w:r>
      <w:r w:rsidRPr="00F43594">
        <w:rPr>
          <w:rFonts w:ascii="Century Gothic" w:eastAsia="Century Gothic" w:hAnsi="Century Gothic" w:cs="Century Gothic"/>
          <w:b/>
          <w:bCs/>
          <w:color w:val="000000"/>
          <w:lang w:val="es-ES"/>
        </w:rPr>
        <w:lastRenderedPageBreak/>
        <w:t>profesionales españoles, la posibilidad de conciliar es un elemento determinante</w:t>
      </w:r>
      <w:r w:rsidR="001D2A91" w:rsidRPr="008D4734">
        <w:rPr>
          <w:rFonts w:ascii="Century Gothic" w:eastAsia="Century Gothic" w:hAnsi="Century Gothic" w:cs="Century Gothic"/>
          <w:b/>
          <w:bCs/>
          <w:color w:val="000000"/>
          <w:lang w:val="es-ES"/>
        </w:rPr>
        <w:t xml:space="preserve">. </w:t>
      </w:r>
      <w:r w:rsidRPr="00F43594">
        <w:rPr>
          <w:rFonts w:ascii="Century Gothic" w:eastAsia="Century Gothic" w:hAnsi="Century Gothic" w:cs="Century Gothic"/>
          <w:color w:val="000000"/>
          <w:lang w:val="es-ES"/>
        </w:rPr>
        <w:t xml:space="preserve">La tendencia es aún más marcada entre los </w:t>
      </w:r>
      <w:proofErr w:type="spellStart"/>
      <w:r w:rsidRPr="00F43594">
        <w:rPr>
          <w:rFonts w:ascii="Century Gothic" w:eastAsia="Century Gothic" w:hAnsi="Century Gothic" w:cs="Century Gothic"/>
          <w:color w:val="000000"/>
          <w:lang w:val="es-ES"/>
        </w:rPr>
        <w:t>millennials</w:t>
      </w:r>
      <w:proofErr w:type="spellEnd"/>
      <w:r w:rsidRPr="00F43594">
        <w:rPr>
          <w:rFonts w:ascii="Century Gothic" w:eastAsia="Century Gothic" w:hAnsi="Century Gothic" w:cs="Century Gothic"/>
          <w:color w:val="000000"/>
          <w:lang w:val="es-ES"/>
        </w:rPr>
        <w:t xml:space="preserve"> jóvenes (25-34 años), donde el 62,4 % sitúa la conciliación como prioridad absoluta</w:t>
      </w:r>
      <w:r w:rsidR="000512F0">
        <w:rPr>
          <w:rFonts w:ascii="Century Gothic" w:eastAsia="Century Gothic" w:hAnsi="Century Gothic" w:cs="Century Gothic"/>
          <w:color w:val="000000"/>
          <w:lang w:val="es-ES"/>
        </w:rPr>
        <w:t xml:space="preserve">; </w:t>
      </w:r>
      <w:r w:rsidR="000512F0" w:rsidRPr="008C6F01">
        <w:rPr>
          <w:rFonts w:ascii="Century Gothic" w:eastAsia="Century Gothic" w:hAnsi="Century Gothic" w:cs="Century Gothic"/>
          <w:color w:val="000000"/>
          <w:lang w:val="es-ES"/>
        </w:rPr>
        <w:t xml:space="preserve">en el extremo opuesto, </w:t>
      </w:r>
      <w:r w:rsidR="000512F0" w:rsidRPr="008C6F01">
        <w:rPr>
          <w:rFonts w:ascii="Century Gothic" w:eastAsia="Century Gothic" w:hAnsi="Century Gothic" w:cs="Century Gothic"/>
          <w:b/>
          <w:bCs/>
          <w:color w:val="000000"/>
          <w:lang w:val="es-ES"/>
        </w:rPr>
        <w:t xml:space="preserve">los Baby </w:t>
      </w:r>
      <w:proofErr w:type="spellStart"/>
      <w:r w:rsidR="000512F0" w:rsidRPr="008C6F01">
        <w:rPr>
          <w:rFonts w:ascii="Century Gothic" w:eastAsia="Century Gothic" w:hAnsi="Century Gothic" w:cs="Century Gothic"/>
          <w:b/>
          <w:bCs/>
          <w:color w:val="000000"/>
          <w:lang w:val="es-ES"/>
        </w:rPr>
        <w:t>Boomers</w:t>
      </w:r>
      <w:proofErr w:type="spellEnd"/>
      <w:r w:rsidR="000512F0" w:rsidRPr="008C6F01">
        <w:rPr>
          <w:rFonts w:ascii="Century Gothic" w:eastAsia="Century Gothic" w:hAnsi="Century Gothic" w:cs="Century Gothic"/>
          <w:b/>
          <w:bCs/>
          <w:color w:val="000000"/>
          <w:lang w:val="es-ES"/>
        </w:rPr>
        <w:t xml:space="preserve"> (55-60 años)</w:t>
      </w:r>
      <w:r w:rsidR="000512F0" w:rsidRPr="008C6F01">
        <w:rPr>
          <w:rFonts w:ascii="Century Gothic" w:eastAsia="Century Gothic" w:hAnsi="Century Gothic" w:cs="Century Gothic"/>
          <w:color w:val="000000"/>
          <w:lang w:val="es-ES"/>
        </w:rPr>
        <w:t xml:space="preserve"> son quienes menos la consideran decisiva (</w:t>
      </w:r>
      <w:r w:rsidR="000512F0" w:rsidRPr="008C6F01">
        <w:rPr>
          <w:rFonts w:ascii="Century Gothic" w:eastAsia="Century Gothic" w:hAnsi="Century Gothic" w:cs="Century Gothic"/>
          <w:b/>
          <w:bCs/>
          <w:color w:val="000000"/>
          <w:lang w:val="es-ES"/>
        </w:rPr>
        <w:t>46 %</w:t>
      </w:r>
      <w:r w:rsidR="000512F0" w:rsidRPr="008C6F01">
        <w:rPr>
          <w:rFonts w:ascii="Century Gothic" w:eastAsia="Century Gothic" w:hAnsi="Century Gothic" w:cs="Century Gothic"/>
          <w:color w:val="000000"/>
          <w:lang w:val="es-ES"/>
        </w:rPr>
        <w:t>).</w:t>
      </w:r>
    </w:p>
    <w:p w14:paraId="234208C2" w14:textId="77777777" w:rsidR="000512F0" w:rsidRPr="00F43594" w:rsidRDefault="000512F0" w:rsidP="00F43594">
      <w:pPr>
        <w:jc w:val="both"/>
        <w:rPr>
          <w:rFonts w:ascii="Century Gothic" w:eastAsia="Century Gothic" w:hAnsi="Century Gothic" w:cs="Century Gothic"/>
          <w:b/>
          <w:bCs/>
          <w:color w:val="000000"/>
          <w:lang w:val="es-ES"/>
        </w:rPr>
      </w:pPr>
    </w:p>
    <w:p w14:paraId="1001B3C3" w14:textId="58FCC267" w:rsidR="00001131" w:rsidRPr="008C6F01" w:rsidRDefault="00F30A2E">
      <w:pPr>
        <w:jc w:val="both"/>
        <w:rPr>
          <w:rFonts w:ascii="Century Gothic" w:eastAsia="Century Gothic" w:hAnsi="Century Gothic" w:cs="Century Gothic"/>
          <w:color w:val="000000"/>
          <w:lang w:val="es-ES"/>
        </w:rPr>
      </w:pPr>
      <w:r w:rsidRPr="008C6F01">
        <w:rPr>
          <w:rFonts w:ascii="Century Gothic" w:eastAsia="Century Gothic" w:hAnsi="Century Gothic" w:cs="Century Gothic"/>
          <w:color w:val="000000"/>
          <w:lang w:val="es-ES"/>
        </w:rPr>
        <w:t xml:space="preserve">Por territorios, sobresalen </w:t>
      </w:r>
      <w:r w:rsidRPr="008C6F01">
        <w:rPr>
          <w:rFonts w:ascii="Century Gothic" w:eastAsia="Century Gothic" w:hAnsi="Century Gothic" w:cs="Century Gothic"/>
          <w:b/>
          <w:bCs/>
          <w:color w:val="000000"/>
          <w:lang w:val="es-ES"/>
        </w:rPr>
        <w:t>Comunidad Valenciana (58,7 %)</w:t>
      </w:r>
      <w:r w:rsidRPr="008C6F01">
        <w:rPr>
          <w:rFonts w:ascii="Century Gothic" w:eastAsia="Century Gothic" w:hAnsi="Century Gothic" w:cs="Century Gothic"/>
          <w:color w:val="000000"/>
          <w:lang w:val="es-ES"/>
        </w:rPr>
        <w:t xml:space="preserve"> y </w:t>
      </w:r>
      <w:r w:rsidRPr="008C6F01">
        <w:rPr>
          <w:rFonts w:ascii="Century Gothic" w:eastAsia="Century Gothic" w:hAnsi="Century Gothic" w:cs="Century Gothic"/>
          <w:b/>
          <w:bCs/>
          <w:color w:val="000000"/>
          <w:lang w:val="es-ES"/>
        </w:rPr>
        <w:t>Cataluña (55,5 %)</w:t>
      </w:r>
      <w:r w:rsidRPr="008C6F01">
        <w:rPr>
          <w:rFonts w:ascii="Century Gothic" w:eastAsia="Century Gothic" w:hAnsi="Century Gothic" w:cs="Century Gothic"/>
          <w:color w:val="000000"/>
          <w:lang w:val="es-ES"/>
        </w:rPr>
        <w:t xml:space="preserve"> como referentes en demanda de políticas de equilibrio vida-trabajo. Y por estructura empresarial, </w:t>
      </w:r>
      <w:r w:rsidRPr="008C6F01">
        <w:rPr>
          <w:rFonts w:ascii="Century Gothic" w:eastAsia="Century Gothic" w:hAnsi="Century Gothic" w:cs="Century Gothic"/>
          <w:b/>
          <w:bCs/>
          <w:color w:val="000000"/>
          <w:lang w:val="es-ES"/>
        </w:rPr>
        <w:t>las medianas compañías (55,6 %)</w:t>
      </w:r>
      <w:r w:rsidRPr="008C6F01">
        <w:rPr>
          <w:rFonts w:ascii="Century Gothic" w:eastAsia="Century Gothic" w:hAnsi="Century Gothic" w:cs="Century Gothic"/>
          <w:color w:val="000000"/>
          <w:lang w:val="es-ES"/>
        </w:rPr>
        <w:t xml:space="preserve"> y </w:t>
      </w:r>
      <w:r w:rsidRPr="008C6F01">
        <w:rPr>
          <w:rFonts w:ascii="Century Gothic" w:eastAsia="Century Gothic" w:hAnsi="Century Gothic" w:cs="Century Gothic"/>
          <w:b/>
          <w:bCs/>
          <w:color w:val="000000"/>
          <w:lang w:val="es-ES"/>
        </w:rPr>
        <w:t>las corporaciones (53,8 %)</w:t>
      </w:r>
      <w:r w:rsidRPr="008C6F01">
        <w:rPr>
          <w:rFonts w:ascii="Century Gothic" w:eastAsia="Century Gothic" w:hAnsi="Century Gothic" w:cs="Century Gothic"/>
          <w:color w:val="000000"/>
          <w:lang w:val="es-ES"/>
        </w:rPr>
        <w:t xml:space="preserve"> agrupan a los equipos que más valoran la conciliación como elemento clave.</w:t>
      </w:r>
    </w:p>
    <w:p w14:paraId="060A8871" w14:textId="77777777" w:rsidR="00F30A2E" w:rsidRPr="008C6F01" w:rsidRDefault="00F30A2E">
      <w:pPr>
        <w:jc w:val="both"/>
        <w:rPr>
          <w:rFonts w:ascii="Century Gothic" w:eastAsia="Century Gothic" w:hAnsi="Century Gothic" w:cs="Century Gothic"/>
          <w:color w:val="000000"/>
          <w:lang w:val="es-ES"/>
        </w:rPr>
      </w:pPr>
    </w:p>
    <w:p w14:paraId="278ADFA8" w14:textId="02D97CCB" w:rsidR="004B6C7F" w:rsidRDefault="00936408" w:rsidP="004B6C7F">
      <w:pPr>
        <w:jc w:val="both"/>
        <w:rPr>
          <w:rFonts w:ascii="Century Gothic" w:eastAsia="Century Gothic" w:hAnsi="Century Gothic" w:cs="Century Gothic"/>
          <w:b/>
          <w:bCs/>
          <w:color w:val="000000"/>
          <w:lang w:val="es-ES"/>
        </w:rPr>
      </w:pPr>
      <w:r w:rsidRPr="008C6F01">
        <w:rPr>
          <w:rFonts w:ascii="Century Gothic" w:eastAsia="Century Gothic" w:hAnsi="Century Gothic" w:cs="Century Gothic"/>
          <w:i/>
          <w:iCs/>
          <w:color w:val="000000" w:themeColor="text1"/>
          <w:lang w:val="es-ES"/>
        </w:rPr>
        <w:t xml:space="preserve">“Estos datos confirman que movilidad y conciliación están estrechamente ligadas. Reducir el tiempo y el coste de los desplazamientos es hoy una de las claves para mejorar el bienestar y la productividad de los equipos. Las empresas que ofrezcan alternativas sostenibles, ayudas al transporte o fórmulas de trabajo flexible tendrán una ventaja clara para atraer y fidelizar talento", </w:t>
      </w:r>
      <w:r w:rsidR="004B6C7F" w:rsidRPr="369F593A">
        <w:rPr>
          <w:rFonts w:ascii="Century Gothic" w:eastAsia="Century Gothic" w:hAnsi="Century Gothic" w:cs="Century Gothic"/>
          <w:color w:val="000000" w:themeColor="text1"/>
          <w:lang w:val="es-ES"/>
        </w:rPr>
        <w:t xml:space="preserve">afirma </w:t>
      </w:r>
      <w:r w:rsidR="00600759" w:rsidRPr="369F593A">
        <w:rPr>
          <w:rFonts w:ascii="Century Gothic" w:eastAsia="Century Gothic" w:hAnsi="Century Gothic" w:cs="Century Gothic"/>
          <w:color w:val="000000" w:themeColor="text1"/>
          <w:lang w:val="es-ES"/>
        </w:rPr>
        <w:t>la</w:t>
      </w:r>
      <w:r w:rsidR="00600759" w:rsidRPr="369F593A">
        <w:rPr>
          <w:rFonts w:ascii="Century Gothic" w:eastAsia="Century Gothic" w:hAnsi="Century Gothic" w:cs="Century Gothic"/>
          <w:b/>
          <w:bCs/>
          <w:color w:val="000000" w:themeColor="text1"/>
          <w:lang w:val="es-ES"/>
        </w:rPr>
        <w:t xml:space="preserve"> </w:t>
      </w:r>
      <w:r w:rsidR="004B6C7F" w:rsidRPr="369F593A">
        <w:rPr>
          <w:rFonts w:ascii="Century Gothic" w:eastAsia="Century Gothic" w:hAnsi="Century Gothic" w:cs="Century Gothic"/>
          <w:b/>
          <w:bCs/>
          <w:color w:val="000000" w:themeColor="text1"/>
          <w:lang w:val="es-ES"/>
        </w:rPr>
        <w:t>Directora de People &amp; CSR de Edenred España</w:t>
      </w:r>
      <w:r w:rsidR="00600759" w:rsidRPr="369F593A">
        <w:rPr>
          <w:rFonts w:ascii="Century Gothic" w:eastAsia="Century Gothic" w:hAnsi="Century Gothic" w:cs="Century Gothic"/>
          <w:b/>
          <w:bCs/>
          <w:color w:val="000000" w:themeColor="text1"/>
          <w:lang w:val="es-ES"/>
        </w:rPr>
        <w:t>, Olga Zografou.</w:t>
      </w:r>
    </w:p>
    <w:p w14:paraId="63386442" w14:textId="77777777" w:rsidR="008B3796" w:rsidRDefault="008B3796" w:rsidP="004B6C7F">
      <w:pPr>
        <w:jc w:val="both"/>
        <w:rPr>
          <w:rFonts w:ascii="Century Gothic" w:eastAsia="Century Gothic" w:hAnsi="Century Gothic" w:cs="Century Gothic"/>
          <w:b/>
          <w:bCs/>
          <w:color w:val="000000"/>
          <w:lang w:val="es-ES"/>
        </w:rPr>
      </w:pPr>
    </w:p>
    <w:p w14:paraId="634CACD9" w14:textId="1C125BF1" w:rsidR="008B3796" w:rsidRPr="008B3796" w:rsidRDefault="008B3796" w:rsidP="004B6C7F">
      <w:pPr>
        <w:jc w:val="both"/>
        <w:rPr>
          <w:rFonts w:ascii="Century Gothic" w:eastAsia="Century Gothic" w:hAnsi="Century Gothic" w:cs="Century Gothic"/>
          <w:color w:val="000000"/>
          <w:lang w:val="es-ES"/>
        </w:rPr>
      </w:pPr>
      <w:r w:rsidRPr="008C6F01">
        <w:rPr>
          <w:rFonts w:ascii="Century Gothic" w:eastAsia="Century Gothic" w:hAnsi="Century Gothic" w:cs="Century Gothic"/>
          <w:color w:val="000000" w:themeColor="text1"/>
          <w:lang w:val="es-ES"/>
        </w:rPr>
        <w:t xml:space="preserve">En un contexto donde la nueva Ley de Movilidad Sostenible obligará a las compañías a elaborar planes de movilidad </w:t>
      </w:r>
      <w:r w:rsidR="5A1477F8" w:rsidRPr="008C6F01">
        <w:rPr>
          <w:rFonts w:ascii="Century Gothic" w:eastAsia="Century Gothic" w:hAnsi="Century Gothic" w:cs="Century Gothic"/>
          <w:color w:val="000000" w:themeColor="text1"/>
          <w:lang w:val="es-ES"/>
        </w:rPr>
        <w:t xml:space="preserve">sostenible </w:t>
      </w:r>
      <w:r w:rsidR="5FD82087" w:rsidRPr="008C6F01">
        <w:rPr>
          <w:rFonts w:ascii="Century Gothic" w:eastAsia="Century Gothic" w:hAnsi="Century Gothic" w:cs="Century Gothic"/>
          <w:color w:val="000000" w:themeColor="text1"/>
          <w:lang w:val="es-ES"/>
        </w:rPr>
        <w:t>(</w:t>
      </w:r>
      <w:r w:rsidRPr="008C6F01">
        <w:rPr>
          <w:rFonts w:ascii="Century Gothic" w:eastAsia="Century Gothic" w:hAnsi="Century Gothic" w:cs="Century Gothic"/>
          <w:color w:val="000000" w:themeColor="text1"/>
          <w:lang w:val="es-ES"/>
        </w:rPr>
        <w:t>al trabajo</w:t>
      </w:r>
      <w:r w:rsidR="51E52369" w:rsidRPr="008C6F01">
        <w:rPr>
          <w:rFonts w:ascii="Century Gothic" w:eastAsia="Century Gothic" w:hAnsi="Century Gothic" w:cs="Century Gothic"/>
          <w:color w:val="000000" w:themeColor="text1"/>
          <w:lang w:val="es-ES"/>
        </w:rPr>
        <w:t>)</w:t>
      </w:r>
      <w:r w:rsidRPr="008C6F01">
        <w:rPr>
          <w:rFonts w:ascii="Century Gothic" w:eastAsia="Century Gothic" w:hAnsi="Century Gothic" w:cs="Century Gothic"/>
          <w:color w:val="000000" w:themeColor="text1"/>
          <w:lang w:val="es-ES"/>
        </w:rPr>
        <w:t>, los resultados del estudio de Edenred ponen de manifiesto que estas medidas no solo son necesarias desde el punto de vista medioambiental, sino también desde la perspectiva del bienestar y la productividad de los equipos.</w:t>
      </w:r>
    </w:p>
    <w:p w14:paraId="06EC7606" w14:textId="77777777" w:rsidR="004B6C7F" w:rsidRPr="004B6C7F" w:rsidRDefault="004B6C7F">
      <w:pPr>
        <w:jc w:val="both"/>
        <w:rPr>
          <w:rFonts w:ascii="Century Gothic" w:eastAsia="Century Gothic" w:hAnsi="Century Gothic" w:cs="Century Gothic"/>
          <w:b/>
          <w:bCs/>
          <w:color w:val="000000"/>
          <w:lang w:val="es-ES"/>
        </w:rPr>
      </w:pPr>
    </w:p>
    <w:p w14:paraId="51E74DA8" w14:textId="350A9506" w:rsidR="0034131E" w:rsidRPr="00833D4F" w:rsidRDefault="00E660F9">
      <w:pPr>
        <w:jc w:val="both"/>
        <w:rPr>
          <w:rFonts w:ascii="Century Gothic" w:eastAsia="Century Gothic" w:hAnsi="Century Gothic" w:cs="Century Gothic"/>
          <w:color w:val="000000"/>
          <w:lang w:val="es-ES"/>
        </w:rPr>
      </w:pPr>
      <w:r w:rsidRPr="00833D4F">
        <w:rPr>
          <w:rFonts w:ascii="Century Gothic" w:eastAsia="Century Gothic" w:hAnsi="Century Gothic" w:cs="Century Gothic"/>
          <w:color w:val="000000"/>
          <w:lang w:val="es-ES"/>
        </w:rPr>
        <w:t>▬▬</w:t>
      </w:r>
    </w:p>
    <w:p w14:paraId="319B1527" w14:textId="77777777" w:rsidR="0034131E" w:rsidRPr="00833D4F" w:rsidRDefault="0034131E">
      <w:pPr>
        <w:jc w:val="both"/>
        <w:rPr>
          <w:rFonts w:ascii="Century Gothic" w:eastAsia="Century Gothic" w:hAnsi="Century Gothic" w:cs="Century Gothic"/>
          <w:lang w:val="es-ES"/>
        </w:rPr>
      </w:pPr>
    </w:p>
    <w:p w14:paraId="25873AF5" w14:textId="77777777" w:rsidR="0034131E" w:rsidRPr="00833D4F" w:rsidRDefault="00E660F9">
      <w:pPr>
        <w:jc w:val="both"/>
        <w:rPr>
          <w:lang w:val="es-ES"/>
        </w:rPr>
      </w:pPr>
      <w:r w:rsidRPr="00833D4F">
        <w:rPr>
          <w:rFonts w:ascii="Century Gothic" w:eastAsia="Century Gothic" w:hAnsi="Century Gothic" w:cs="Century Gothic"/>
          <w:b/>
          <w:color w:val="000000"/>
          <w:sz w:val="18"/>
          <w:szCs w:val="18"/>
          <w:lang w:val="es-ES"/>
        </w:rPr>
        <w:t>Sobre Edenred</w:t>
      </w:r>
    </w:p>
    <w:p w14:paraId="4FED8EE9" w14:textId="77777777" w:rsidR="0034131E" w:rsidRPr="00833D4F" w:rsidRDefault="0034131E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lang w:val="es-ES"/>
        </w:rPr>
      </w:pPr>
    </w:p>
    <w:p w14:paraId="67906C8A" w14:textId="77777777" w:rsidR="0034131E" w:rsidRPr="00833D4F" w:rsidRDefault="00E660F9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lang w:val="es-ES"/>
        </w:rPr>
      </w:pPr>
      <w:r w:rsidRPr="00833D4F">
        <w:rPr>
          <w:rFonts w:ascii="Century Gothic" w:eastAsia="Century Gothic" w:hAnsi="Century Gothic" w:cs="Century Gothic"/>
          <w:b/>
          <w:color w:val="000000"/>
          <w:sz w:val="18"/>
          <w:szCs w:val="18"/>
          <w:lang w:val="es-ES"/>
        </w:rPr>
        <w:t>Edenred</w:t>
      </w:r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 xml:space="preserve"> es una plataforma digital líder en servicios y pagos, que actúa como el compañero diario de las personas en el trabajo, facilitando la conexión entre más de 60 millones de usuarios y 2 millones de comercios asociados en 45 países, a través de 1 millón de clientes corporativos. </w:t>
      </w:r>
    </w:p>
    <w:p w14:paraId="2AA0D98E" w14:textId="77777777" w:rsidR="0034131E" w:rsidRPr="00833D4F" w:rsidRDefault="0034131E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</w:p>
    <w:p w14:paraId="77C6D3E1" w14:textId="77777777" w:rsidR="0034131E" w:rsidRPr="00833D4F" w:rsidRDefault="00E660F9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>Su oferta se basa en soluciones de pago de propósito específico, diseñadas para mejorar la experiencia laboral y la eficiencia empresarial. En el ámbito de la alimentación, Edenred ofrece beneficios como tarjetas de comida y vales de alimentos, que facilitan el acceso a opciones más saludables. En el área de compromiso y bienestar, proporciona soluciones como tarjetas regalo y plataformas de incentivos, que refuerzan la motivación y fidelización del talento. En movilidad, facilita el acceso a soluciones multimodales, incluyendo carga de vehículos eléctricos, mantenimiento, peajes y estacionamiento, contribuyendo a un entorno de transporte más sostenible. Finalmente, en pagos corporativos, ofrece herramientas como tarjetas virtuales, que optimizan la gestión financiera y simplifican las transacciones empresariales.</w:t>
      </w:r>
    </w:p>
    <w:p w14:paraId="21BB60E4" w14:textId="77777777" w:rsidR="0034131E" w:rsidRPr="00833D4F" w:rsidRDefault="0034131E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</w:p>
    <w:p w14:paraId="2C80D1F0" w14:textId="77777777" w:rsidR="0034131E" w:rsidRPr="00833D4F" w:rsidRDefault="00E660F9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>Fiel a su propósito, "</w:t>
      </w:r>
      <w:proofErr w:type="spellStart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>Enrich</w:t>
      </w:r>
      <w:proofErr w:type="spellEnd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 xml:space="preserve"> </w:t>
      </w:r>
      <w:proofErr w:type="spellStart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>connections</w:t>
      </w:r>
      <w:proofErr w:type="spellEnd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 xml:space="preserve">. For </w:t>
      </w:r>
      <w:proofErr w:type="spellStart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>good</w:t>
      </w:r>
      <w:proofErr w:type="spellEnd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>.", Edenred trabaja para mejorar el bienestar y el poder adquisitivo de los usuarios, incrementar la atractividad y eficiencia de las empresas, y dinamizar el mercado laboral y la economía local. Su impacto también se traduce en el fomento de una alimentación más saludable, el acceso a productos más sostenibles y el impulso de una movilidad más ecológica.</w:t>
      </w:r>
    </w:p>
    <w:p w14:paraId="6502A61F" w14:textId="77777777" w:rsidR="0034131E" w:rsidRPr="00833D4F" w:rsidRDefault="0034131E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</w:p>
    <w:p w14:paraId="31ABED79" w14:textId="77777777" w:rsidR="0034131E" w:rsidRPr="00833D4F" w:rsidRDefault="00E660F9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>Con un equipo de 12.000 empleados, Edenred se compromete cada día a hacer del mundo laboral un ecosistema más conectado, seguro, eficiente y responsable. En 2024, gracias a su infraestructura tecnológica global, el Grupo gestionó un volumen de negocio cercano a 45.000 millones de euros, operado principalmente a través de aplicaciones móviles, plataformas online y tarjetas.</w:t>
      </w:r>
    </w:p>
    <w:p w14:paraId="2BC1F840" w14:textId="77777777" w:rsidR="0034131E" w:rsidRPr="00833D4F" w:rsidRDefault="0034131E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</w:p>
    <w:p w14:paraId="4B5D790E" w14:textId="77777777" w:rsidR="0034131E" w:rsidRPr="00833D4F" w:rsidRDefault="00E660F9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 xml:space="preserve">Edenred cotiza en la Bolsa de París (Euronext) y forma parte de los principales índices bursátiles, incluyendo CAC 40, CAC 40 ESG, CAC </w:t>
      </w:r>
      <w:proofErr w:type="spellStart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>Large</w:t>
      </w:r>
      <w:proofErr w:type="spellEnd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 xml:space="preserve"> 60, Euronext 100, Euronext </w:t>
      </w:r>
      <w:proofErr w:type="spellStart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>Tech</w:t>
      </w:r>
      <w:proofErr w:type="spellEnd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 xml:space="preserve"> </w:t>
      </w:r>
      <w:proofErr w:type="spellStart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>Leaders</w:t>
      </w:r>
      <w:proofErr w:type="spellEnd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 xml:space="preserve">, FTSE4Good, DJSI </w:t>
      </w:r>
      <w:proofErr w:type="spellStart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>Europe</w:t>
      </w:r>
      <w:proofErr w:type="spellEnd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 xml:space="preserve"> </w:t>
      </w:r>
      <w:proofErr w:type="spellStart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>Index</w:t>
      </w:r>
      <w:proofErr w:type="spellEnd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 xml:space="preserve">, DJSI </w:t>
      </w:r>
      <w:proofErr w:type="spellStart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>World</w:t>
      </w:r>
      <w:proofErr w:type="spellEnd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 xml:space="preserve"> </w:t>
      </w:r>
      <w:proofErr w:type="spellStart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>Index</w:t>
      </w:r>
      <w:proofErr w:type="spellEnd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 xml:space="preserve"> y MSCI </w:t>
      </w:r>
      <w:proofErr w:type="spellStart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>Europe</w:t>
      </w:r>
      <w:proofErr w:type="spellEnd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>.</w:t>
      </w:r>
    </w:p>
    <w:p w14:paraId="5BF9E4B4" w14:textId="77777777" w:rsidR="0034131E" w:rsidRPr="00833D4F" w:rsidRDefault="0034131E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</w:p>
    <w:p w14:paraId="1CC7A655" w14:textId="77777777" w:rsidR="0034131E" w:rsidRPr="00833D4F" w:rsidRDefault="00E660F9">
      <w:pPr>
        <w:spacing w:line="240" w:lineRule="auto"/>
        <w:jc w:val="both"/>
        <w:rPr>
          <w:rFonts w:ascii="Century Gothic" w:eastAsia="Century Gothic" w:hAnsi="Century Gothic" w:cs="Century Gothic"/>
          <w:i/>
          <w:color w:val="000000"/>
          <w:sz w:val="16"/>
          <w:szCs w:val="16"/>
          <w:lang w:val="es-ES"/>
        </w:rPr>
      </w:pPr>
      <w:r w:rsidRPr="00833D4F">
        <w:rPr>
          <w:rFonts w:ascii="Century Gothic" w:eastAsia="Century Gothic" w:hAnsi="Century Gothic" w:cs="Century Gothic"/>
          <w:i/>
          <w:color w:val="000000"/>
          <w:sz w:val="16"/>
          <w:szCs w:val="16"/>
          <w:lang w:val="es-ES"/>
        </w:rPr>
        <w:t>Los logotipos y otras marcas mencionadas y destacadas en este comunicado de prensa son marcas registradas de Edenred S.E., sus filiales o terceros. No pueden utilizarse con fines comerciales sin el consentimiento previo por escrito de sus propietarios.</w:t>
      </w:r>
    </w:p>
    <w:p w14:paraId="60992604" w14:textId="77777777" w:rsidR="0034131E" w:rsidRPr="00833D4F" w:rsidRDefault="0034131E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</w:p>
    <w:p w14:paraId="6E54591E" w14:textId="77777777" w:rsidR="0034131E" w:rsidRPr="00833D4F" w:rsidRDefault="0034131E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b/>
          <w:color w:val="000000"/>
          <w:sz w:val="24"/>
          <w:szCs w:val="24"/>
          <w:lang w:val="es-ES"/>
        </w:rPr>
      </w:pPr>
    </w:p>
    <w:p w14:paraId="34EBC2CB" w14:textId="77777777" w:rsidR="0034131E" w:rsidRDefault="00E660F9">
      <w:pPr>
        <w:spacing w:line="254" w:lineRule="auto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CONTACTO</w:t>
      </w:r>
    </w:p>
    <w:tbl>
      <w:tblPr>
        <w:tblStyle w:val="a"/>
        <w:tblW w:w="9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103"/>
        <w:gridCol w:w="4552"/>
      </w:tblGrid>
      <w:tr w:rsidR="0034131E" w14:paraId="10E87855" w14:textId="77777777">
        <w:trPr>
          <w:trHeight w:val="1725"/>
        </w:trPr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CB8FE" w14:textId="77777777" w:rsidR="0034131E" w:rsidRDefault="0034131E">
            <w:pPr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</w:pPr>
          </w:p>
          <w:p w14:paraId="3E71BA8C" w14:textId="77777777" w:rsidR="0034131E" w:rsidRDefault="00E660F9">
            <w:pPr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  <w:t>Edenred</w:t>
            </w:r>
          </w:p>
          <w:p w14:paraId="2C0E5145" w14:textId="77777777" w:rsidR="0034131E" w:rsidRDefault="00E660F9">
            <w:pPr>
              <w:jc w:val="both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Alejandro Delgado Sánchez</w:t>
            </w:r>
          </w:p>
          <w:p w14:paraId="3C5097B0" w14:textId="77777777" w:rsidR="0034131E" w:rsidRDefault="00E660F9">
            <w:pPr>
              <w:jc w:val="both"/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Communications </w:t>
            </w: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Specialist</w:t>
            </w:r>
            <w:proofErr w:type="spellEnd"/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 </w:t>
            </w:r>
          </w:p>
          <w:p w14:paraId="7AD809AF" w14:textId="77777777" w:rsidR="0034131E" w:rsidRDefault="0034131E">
            <w:pPr>
              <w:jc w:val="both"/>
            </w:pPr>
            <w:hyperlink r:id="rId9">
              <w:r>
                <w:rPr>
                  <w:rFonts w:ascii="Century Gothic" w:eastAsia="Century Gothic" w:hAnsi="Century Gothic" w:cs="Century Gothic"/>
                  <w:color w:val="000000"/>
                  <w:sz w:val="16"/>
                  <w:szCs w:val="16"/>
                </w:rPr>
                <w:t>alejandro.delgadosanchez@edenred.com</w:t>
              </w:r>
            </w:hyperlink>
          </w:p>
          <w:p w14:paraId="4CF87B1B" w14:textId="77777777" w:rsidR="0034131E" w:rsidRDefault="0034131E">
            <w:pPr>
              <w:spacing w:line="251" w:lineRule="auto"/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</w:pPr>
          </w:p>
        </w:tc>
        <w:tc>
          <w:tcPr>
            <w:tcW w:w="4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79073" w14:textId="77777777" w:rsidR="0034131E" w:rsidRDefault="0034131E">
            <w:pPr>
              <w:spacing w:line="251" w:lineRule="auto"/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</w:pPr>
          </w:p>
          <w:p w14:paraId="188D7D39" w14:textId="77777777" w:rsidR="0034131E" w:rsidRDefault="00E660F9">
            <w:pPr>
              <w:spacing w:line="251" w:lineRule="auto"/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  <w:t xml:space="preserve">Newlink Spain </w:t>
            </w:r>
          </w:p>
          <w:p w14:paraId="0709A77C" w14:textId="77777777" w:rsidR="0034131E" w:rsidRDefault="00E660F9">
            <w:pPr>
              <w:spacing w:line="251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Marina Gascón | Patricia </w:t>
            </w: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Vizcaíno</w:t>
            </w:r>
            <w:proofErr w:type="spellEnd"/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 | Sara García</w:t>
            </w:r>
          </w:p>
          <w:p w14:paraId="186B073B" w14:textId="77777777" w:rsidR="0034131E" w:rsidRDefault="00E660F9">
            <w:pPr>
              <w:spacing w:line="251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651 96 34 59</w:t>
            </w:r>
          </w:p>
          <w:p w14:paraId="5D012B56" w14:textId="77777777" w:rsidR="0034131E" w:rsidRDefault="0034131E">
            <w:pPr>
              <w:spacing w:line="251" w:lineRule="auto"/>
            </w:pPr>
            <w:hyperlink r:id="rId10">
              <w:r>
                <w:rPr>
                  <w:rFonts w:ascii="Century Gothic" w:eastAsia="Century Gothic" w:hAnsi="Century Gothic" w:cs="Century Gothic"/>
                  <w:color w:val="000000"/>
                  <w:sz w:val="16"/>
                  <w:szCs w:val="16"/>
                </w:rPr>
                <w:t>equipo.edenred@newlink-group.com</w:t>
              </w:r>
            </w:hyperlink>
          </w:p>
        </w:tc>
      </w:tr>
    </w:tbl>
    <w:p w14:paraId="71CD1086" w14:textId="77777777" w:rsidR="0034131E" w:rsidRPr="008C6F01" w:rsidRDefault="0034131E" w:rsidP="00BC390F">
      <w:pPr>
        <w:rPr>
          <w:color w:val="002060"/>
          <w:lang w:val="es-ES"/>
        </w:rPr>
      </w:pPr>
    </w:p>
    <w:p w14:paraId="1E077CD6" w14:textId="77777777" w:rsidR="00BC390F" w:rsidRPr="00E96D79" w:rsidRDefault="00BC390F" w:rsidP="00BC390F">
      <w:pPr>
        <w:tabs>
          <w:tab w:val="left" w:pos="2760"/>
        </w:tabs>
        <w:rPr>
          <w:rFonts w:ascii="Century Gothic" w:hAnsi="Century Gothic"/>
          <w:b/>
          <w:bCs/>
          <w:color w:val="auto"/>
          <w:sz w:val="24"/>
          <w:szCs w:val="24"/>
          <w:lang w:val="es-ES"/>
        </w:rPr>
      </w:pPr>
      <w:r w:rsidRPr="00E96D79">
        <w:rPr>
          <w:rFonts w:ascii="Century Gothic" w:hAnsi="Century Gothic"/>
          <w:b/>
          <w:bCs/>
          <w:color w:val="auto"/>
          <w:sz w:val="24"/>
          <w:szCs w:val="24"/>
          <w:lang w:val="es-ES"/>
        </w:rPr>
        <w:t>PUBLICACIONES RELACIONADAS</w:t>
      </w:r>
    </w:p>
    <w:p w14:paraId="204CE0A8" w14:textId="77777777" w:rsidR="00BC390F" w:rsidRPr="00E96D79" w:rsidRDefault="00BC390F" w:rsidP="00BC390F">
      <w:pPr>
        <w:tabs>
          <w:tab w:val="left" w:pos="2760"/>
        </w:tabs>
        <w:rPr>
          <w:rFonts w:ascii="Century Gothic" w:hAnsi="Century Gothic"/>
          <w:color w:val="auto"/>
          <w:lang w:val="es-ES"/>
        </w:rPr>
      </w:pPr>
    </w:p>
    <w:p w14:paraId="40534860" w14:textId="77777777" w:rsidR="00BC390F" w:rsidRPr="00E96D79" w:rsidRDefault="00BC390F" w:rsidP="00BC390F">
      <w:pPr>
        <w:tabs>
          <w:tab w:val="left" w:pos="2760"/>
        </w:tabs>
        <w:rPr>
          <w:rFonts w:ascii="Century Gothic" w:hAnsi="Century Gothic"/>
          <w:color w:val="auto"/>
          <w:lang w:val="es-ES"/>
        </w:rPr>
      </w:pPr>
      <w:r w:rsidRPr="00E96D79">
        <w:rPr>
          <w:rFonts w:ascii="Century Gothic" w:hAnsi="Century Gothic"/>
          <w:color w:val="auto"/>
          <w:lang w:val="es-ES"/>
        </w:rPr>
        <w:t>Si deseas ampliar información sobre este comunicado, puedes consultar las siguientes publicaciones:</w:t>
      </w:r>
    </w:p>
    <w:p w14:paraId="62FFDE23" w14:textId="77777777" w:rsidR="0034131E" w:rsidRPr="00BC390F" w:rsidRDefault="0034131E">
      <w:pPr>
        <w:tabs>
          <w:tab w:val="left" w:pos="2760"/>
        </w:tabs>
        <w:rPr>
          <w:rFonts w:ascii="Century Gothic" w:hAnsi="Century Gothic"/>
          <w:lang w:val="es-ES"/>
        </w:rPr>
      </w:pPr>
    </w:p>
    <w:p w14:paraId="49CB1DCB" w14:textId="77777777" w:rsidR="00BC390F" w:rsidRPr="00BC390F" w:rsidRDefault="00BC390F" w:rsidP="00BC390F">
      <w:pPr>
        <w:numPr>
          <w:ilvl w:val="0"/>
          <w:numId w:val="4"/>
        </w:numPr>
        <w:rPr>
          <w:rFonts w:ascii="Century Gothic" w:hAnsi="Century Gothic"/>
          <w:color w:val="002060"/>
          <w:u w:val="single"/>
          <w:lang w:val="es-ES"/>
        </w:rPr>
      </w:pPr>
      <w:r w:rsidRPr="008C6F01">
        <w:rPr>
          <w:rFonts w:ascii="Century Gothic" w:hAnsi="Century Gothic"/>
          <w:b/>
          <w:bCs/>
          <w:color w:val="auto"/>
          <w:lang w:val="es-ES"/>
        </w:rPr>
        <w:t>Directivos &amp; Gerentes</w:t>
      </w:r>
      <w:r w:rsidRPr="008C6F01">
        <w:rPr>
          <w:rFonts w:ascii="Century Gothic" w:hAnsi="Century Gothic"/>
          <w:color w:val="002060"/>
          <w:lang w:val="es-ES"/>
        </w:rPr>
        <w:t xml:space="preserve">. </w:t>
      </w:r>
      <w:hyperlink r:id="rId11" w:tgtFrame="_blank" w:history="1">
        <w:r w:rsidRPr="008C6F01">
          <w:rPr>
            <w:rStyle w:val="Hipervnculo"/>
            <w:rFonts w:ascii="Century Gothic" w:hAnsi="Century Gothic"/>
            <w:lang w:val="es-ES"/>
          </w:rPr>
          <w:t>La distancia al trabajo afecta al 62 % de los españoles y amenaza la fidelización del talento   </w:t>
        </w:r>
      </w:hyperlink>
    </w:p>
    <w:p w14:paraId="455D19DF" w14:textId="77777777" w:rsidR="00BC390F" w:rsidRPr="008C6F01" w:rsidRDefault="00BC390F" w:rsidP="00BC390F">
      <w:pPr>
        <w:ind w:left="720"/>
        <w:rPr>
          <w:rFonts w:ascii="Century Gothic" w:hAnsi="Century Gothic"/>
          <w:color w:val="002060"/>
          <w:u w:val="single"/>
          <w:lang w:val="es-ES"/>
        </w:rPr>
      </w:pPr>
    </w:p>
    <w:p w14:paraId="1042D987" w14:textId="77777777" w:rsidR="00BC390F" w:rsidRPr="00BC390F" w:rsidRDefault="00BC390F" w:rsidP="00BC390F">
      <w:pPr>
        <w:numPr>
          <w:ilvl w:val="0"/>
          <w:numId w:val="4"/>
        </w:numPr>
        <w:rPr>
          <w:rFonts w:ascii="Century Gothic" w:hAnsi="Century Gothic"/>
          <w:color w:val="002060"/>
          <w:lang w:val="es-ES"/>
        </w:rPr>
      </w:pPr>
      <w:r w:rsidRPr="008C6F01">
        <w:rPr>
          <w:rFonts w:ascii="Century Gothic" w:hAnsi="Century Gothic"/>
          <w:b/>
          <w:bCs/>
          <w:color w:val="auto"/>
          <w:lang w:val="es-ES"/>
        </w:rPr>
        <w:t>RRHH Digital</w:t>
      </w:r>
      <w:r w:rsidRPr="008C6F01">
        <w:rPr>
          <w:rFonts w:ascii="Century Gothic" w:hAnsi="Century Gothic"/>
          <w:color w:val="002060"/>
          <w:lang w:val="es-ES"/>
        </w:rPr>
        <w:t xml:space="preserve">. </w:t>
      </w:r>
      <w:hyperlink r:id="rId12" w:tgtFrame="_blank" w:history="1">
        <w:r w:rsidRPr="008C6F01">
          <w:rPr>
            <w:rStyle w:val="Hipervnculo"/>
            <w:rFonts w:ascii="Century Gothic" w:hAnsi="Century Gothic"/>
            <w:lang w:val="es-ES"/>
          </w:rPr>
          <w:t xml:space="preserve">Formación práctica, innovación y estrategia: así triunfaron los workshops del HR </w:t>
        </w:r>
        <w:proofErr w:type="spellStart"/>
        <w:r w:rsidRPr="008C6F01">
          <w:rPr>
            <w:rStyle w:val="Hipervnculo"/>
            <w:rFonts w:ascii="Century Gothic" w:hAnsi="Century Gothic"/>
            <w:lang w:val="es-ES"/>
          </w:rPr>
          <w:t>Innovation</w:t>
        </w:r>
        <w:proofErr w:type="spellEnd"/>
        <w:r w:rsidRPr="008C6F01">
          <w:rPr>
            <w:rStyle w:val="Hipervnculo"/>
            <w:rFonts w:ascii="Century Gothic" w:hAnsi="Century Gothic"/>
            <w:lang w:val="es-ES"/>
          </w:rPr>
          <w:t xml:space="preserve"> Summit 2025   </w:t>
        </w:r>
      </w:hyperlink>
    </w:p>
    <w:p w14:paraId="2FB647FC" w14:textId="77777777" w:rsidR="00BC390F" w:rsidRPr="008C6F01" w:rsidRDefault="00BC390F" w:rsidP="00BC390F">
      <w:pPr>
        <w:rPr>
          <w:rFonts w:ascii="Century Gothic" w:hAnsi="Century Gothic"/>
          <w:color w:val="002060"/>
          <w:lang w:val="es-ES"/>
        </w:rPr>
      </w:pPr>
    </w:p>
    <w:p w14:paraId="6F9FCF48" w14:textId="77777777" w:rsidR="00BC390F" w:rsidRPr="008C6F01" w:rsidRDefault="00BC390F" w:rsidP="00BC390F">
      <w:pPr>
        <w:numPr>
          <w:ilvl w:val="0"/>
          <w:numId w:val="4"/>
        </w:numPr>
        <w:rPr>
          <w:rFonts w:ascii="Century Gothic" w:hAnsi="Century Gothic"/>
          <w:color w:val="002060"/>
          <w:lang w:val="es-ES"/>
        </w:rPr>
      </w:pPr>
      <w:r w:rsidRPr="008C6F01">
        <w:rPr>
          <w:rFonts w:ascii="Century Gothic" w:hAnsi="Century Gothic"/>
          <w:b/>
          <w:bCs/>
          <w:color w:val="auto"/>
          <w:lang w:val="es-ES"/>
        </w:rPr>
        <w:t xml:space="preserve">RRHH </w:t>
      </w:r>
      <w:proofErr w:type="spellStart"/>
      <w:r w:rsidRPr="008C6F01">
        <w:rPr>
          <w:rFonts w:ascii="Century Gothic" w:hAnsi="Century Gothic"/>
          <w:b/>
          <w:bCs/>
          <w:color w:val="auto"/>
          <w:lang w:val="es-ES"/>
        </w:rPr>
        <w:t>Press</w:t>
      </w:r>
      <w:proofErr w:type="spellEnd"/>
      <w:r w:rsidRPr="008C6F01">
        <w:rPr>
          <w:rFonts w:ascii="Century Gothic" w:hAnsi="Century Gothic"/>
          <w:color w:val="002060"/>
          <w:lang w:val="es-ES"/>
        </w:rPr>
        <w:t xml:space="preserve">. </w:t>
      </w:r>
      <w:hyperlink r:id="rId13" w:tgtFrame="_blank" w:history="1">
        <w:r w:rsidRPr="008C6F01">
          <w:rPr>
            <w:rStyle w:val="Hipervnculo"/>
            <w:rFonts w:ascii="Century Gothic" w:hAnsi="Century Gothic"/>
            <w:lang w:val="es-ES"/>
          </w:rPr>
          <w:t>La distancia al trabajo afecta al bienestar diario del 62 % de los españoles   </w:t>
        </w:r>
      </w:hyperlink>
    </w:p>
    <w:p w14:paraId="58FBAA8F" w14:textId="77777777" w:rsidR="00BC390F" w:rsidRPr="008C6F01" w:rsidRDefault="00BC390F">
      <w:pPr>
        <w:tabs>
          <w:tab w:val="left" w:pos="2760"/>
        </w:tabs>
        <w:rPr>
          <w:lang w:val="es-ES"/>
        </w:rPr>
      </w:pPr>
    </w:p>
    <w:sectPr w:rsidR="00BC390F" w:rsidRPr="008C6F01">
      <w:footerReference w:type="default" r:id="rId14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59EC1" w14:textId="77777777" w:rsidR="00BE7692" w:rsidRDefault="00BE7692">
      <w:pPr>
        <w:spacing w:line="240" w:lineRule="auto"/>
      </w:pPr>
      <w:r>
        <w:separator/>
      </w:r>
    </w:p>
  </w:endnote>
  <w:endnote w:type="continuationSeparator" w:id="0">
    <w:p w14:paraId="4472AE51" w14:textId="77777777" w:rsidR="00BE7692" w:rsidRDefault="00BE76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" w:fontKey="{710A0C2B-06C6-4B59-86BF-C747C74EB80E}"/>
    <w:embedBold r:id="rId2" w:fontKey="{AA5F2294-C283-4007-9CEC-AF156E47E938}"/>
    <w:embedItalic r:id="rId3" w:fontKey="{41E39563-BB57-42B5-9EE1-12328511757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B9D957B6-1276-4436-8F75-CDAFD0F1AE2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AF5FDF0F-C339-4C61-9696-B5B676DB2C6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7D4DB944-F705-4821-9468-741DCFDEE61F}"/>
    <w:embedItalic r:id="rId7" w:fontKey="{F34EE9C9-06AB-4878-9579-D4DD68C6A725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8" w:fontKey="{BD5559EE-B341-4A4F-A2CF-5D89F05B3DFF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9" w:fontKey="{ED33ED7B-7D03-473F-9DFA-C7B723F03F1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55193" w14:textId="77777777" w:rsidR="0034131E" w:rsidRDefault="00E660F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B5CB540" wp14:editId="6EA21FCE">
          <wp:simplePos x="0" y="0"/>
          <wp:positionH relativeFrom="column">
            <wp:posOffset>1</wp:posOffset>
          </wp:positionH>
          <wp:positionV relativeFrom="paragraph">
            <wp:posOffset>0</wp:posOffset>
          </wp:positionV>
          <wp:extent cx="525697" cy="337303"/>
          <wp:effectExtent l="0" t="0" r="0" b="0"/>
          <wp:wrapNone/>
          <wp:docPr id="827937672" name="image1.png" descr="Logotip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Descripción generada automá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5697" cy="3373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C3255" w14:textId="77777777" w:rsidR="00BE7692" w:rsidRDefault="00BE7692">
      <w:pPr>
        <w:spacing w:line="240" w:lineRule="auto"/>
      </w:pPr>
      <w:r>
        <w:separator/>
      </w:r>
    </w:p>
  </w:footnote>
  <w:footnote w:type="continuationSeparator" w:id="0">
    <w:p w14:paraId="33293935" w14:textId="77777777" w:rsidR="00BE7692" w:rsidRDefault="00BE76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54FB0"/>
    <w:multiLevelType w:val="multilevel"/>
    <w:tmpl w:val="99C81776"/>
    <w:lvl w:ilvl="0">
      <w:start w:val="1"/>
      <w:numFmt w:val="decimal"/>
      <w:pStyle w:val="BoxBulle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B866DFC"/>
    <w:multiLevelType w:val="multilevel"/>
    <w:tmpl w:val="7BEEF018"/>
    <w:lvl w:ilvl="0">
      <w:start w:val="1"/>
      <w:numFmt w:val="bullet"/>
      <w:pStyle w:val="BulletLead-in2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8124785"/>
    <w:multiLevelType w:val="multilevel"/>
    <w:tmpl w:val="E4701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0246018">
    <w:abstractNumId w:val="1"/>
  </w:num>
  <w:num w:numId="2" w16cid:durableId="620915189">
    <w:abstractNumId w:val="0"/>
  </w:num>
  <w:num w:numId="3" w16cid:durableId="9502821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0778482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31E"/>
    <w:rsid w:val="00001131"/>
    <w:rsid w:val="00022255"/>
    <w:rsid w:val="000323C6"/>
    <w:rsid w:val="00035309"/>
    <w:rsid w:val="000512F0"/>
    <w:rsid w:val="00053526"/>
    <w:rsid w:val="000873EB"/>
    <w:rsid w:val="00092205"/>
    <w:rsid w:val="000A4CBF"/>
    <w:rsid w:val="000F4162"/>
    <w:rsid w:val="00124824"/>
    <w:rsid w:val="00125440"/>
    <w:rsid w:val="001325F8"/>
    <w:rsid w:val="001533EB"/>
    <w:rsid w:val="001724EC"/>
    <w:rsid w:val="0017574A"/>
    <w:rsid w:val="0018413A"/>
    <w:rsid w:val="00196D68"/>
    <w:rsid w:val="001B3304"/>
    <w:rsid w:val="001C4938"/>
    <w:rsid w:val="001D2A91"/>
    <w:rsid w:val="001D65D3"/>
    <w:rsid w:val="001E738B"/>
    <w:rsid w:val="001F79A2"/>
    <w:rsid w:val="00202F85"/>
    <w:rsid w:val="00240C55"/>
    <w:rsid w:val="002665DB"/>
    <w:rsid w:val="002A08A5"/>
    <w:rsid w:val="002AC8F9"/>
    <w:rsid w:val="002D4BFB"/>
    <w:rsid w:val="002E2116"/>
    <w:rsid w:val="00323902"/>
    <w:rsid w:val="0034131E"/>
    <w:rsid w:val="003470F9"/>
    <w:rsid w:val="00350B2A"/>
    <w:rsid w:val="003530F0"/>
    <w:rsid w:val="00372C87"/>
    <w:rsid w:val="0039534F"/>
    <w:rsid w:val="003C0022"/>
    <w:rsid w:val="003D2293"/>
    <w:rsid w:val="003D5524"/>
    <w:rsid w:val="003E7120"/>
    <w:rsid w:val="00427E2A"/>
    <w:rsid w:val="0045496E"/>
    <w:rsid w:val="004B6C7F"/>
    <w:rsid w:val="004D721E"/>
    <w:rsid w:val="004E5017"/>
    <w:rsid w:val="00550198"/>
    <w:rsid w:val="005667E4"/>
    <w:rsid w:val="0057489F"/>
    <w:rsid w:val="0058221C"/>
    <w:rsid w:val="00582CBC"/>
    <w:rsid w:val="00584BD2"/>
    <w:rsid w:val="005A0C33"/>
    <w:rsid w:val="005A49F7"/>
    <w:rsid w:val="005D09EE"/>
    <w:rsid w:val="005D5C33"/>
    <w:rsid w:val="005E195F"/>
    <w:rsid w:val="00600759"/>
    <w:rsid w:val="006053DD"/>
    <w:rsid w:val="00605A7B"/>
    <w:rsid w:val="006662D7"/>
    <w:rsid w:val="006B50F2"/>
    <w:rsid w:val="006D0E3A"/>
    <w:rsid w:val="00705CB8"/>
    <w:rsid w:val="00714118"/>
    <w:rsid w:val="007142AE"/>
    <w:rsid w:val="0071623A"/>
    <w:rsid w:val="00720D3A"/>
    <w:rsid w:val="00726216"/>
    <w:rsid w:val="007464E8"/>
    <w:rsid w:val="007526FE"/>
    <w:rsid w:val="00754BD4"/>
    <w:rsid w:val="007624FC"/>
    <w:rsid w:val="007A254F"/>
    <w:rsid w:val="007A4627"/>
    <w:rsid w:val="007B551B"/>
    <w:rsid w:val="007D1E1B"/>
    <w:rsid w:val="007E0322"/>
    <w:rsid w:val="0080549B"/>
    <w:rsid w:val="00833D4F"/>
    <w:rsid w:val="0084066C"/>
    <w:rsid w:val="00857B31"/>
    <w:rsid w:val="00867695"/>
    <w:rsid w:val="0089688A"/>
    <w:rsid w:val="008B3796"/>
    <w:rsid w:val="008B41AE"/>
    <w:rsid w:val="008C5C42"/>
    <w:rsid w:val="008C6F01"/>
    <w:rsid w:val="008D4734"/>
    <w:rsid w:val="008D77A2"/>
    <w:rsid w:val="008F64D6"/>
    <w:rsid w:val="00936408"/>
    <w:rsid w:val="009437D4"/>
    <w:rsid w:val="00A12632"/>
    <w:rsid w:val="00A329FB"/>
    <w:rsid w:val="00A446DD"/>
    <w:rsid w:val="00A458BE"/>
    <w:rsid w:val="00A50C82"/>
    <w:rsid w:val="00A514EC"/>
    <w:rsid w:val="00A51A29"/>
    <w:rsid w:val="00A63651"/>
    <w:rsid w:val="00A6484B"/>
    <w:rsid w:val="00A76561"/>
    <w:rsid w:val="00A95D2A"/>
    <w:rsid w:val="00AA08A2"/>
    <w:rsid w:val="00AE6FF0"/>
    <w:rsid w:val="00B35B98"/>
    <w:rsid w:val="00BA70E9"/>
    <w:rsid w:val="00BB29B5"/>
    <w:rsid w:val="00BC390F"/>
    <w:rsid w:val="00BE1228"/>
    <w:rsid w:val="00BE7692"/>
    <w:rsid w:val="00C355E6"/>
    <w:rsid w:val="00C53F92"/>
    <w:rsid w:val="00C54FD6"/>
    <w:rsid w:val="00CA154F"/>
    <w:rsid w:val="00CA6FAD"/>
    <w:rsid w:val="00CB3941"/>
    <w:rsid w:val="00CB791B"/>
    <w:rsid w:val="00CE15AF"/>
    <w:rsid w:val="00D339B9"/>
    <w:rsid w:val="00D44297"/>
    <w:rsid w:val="00D60657"/>
    <w:rsid w:val="00D77A2F"/>
    <w:rsid w:val="00D803AC"/>
    <w:rsid w:val="00D87718"/>
    <w:rsid w:val="00D92E54"/>
    <w:rsid w:val="00DA44E2"/>
    <w:rsid w:val="00DB05D1"/>
    <w:rsid w:val="00DD5276"/>
    <w:rsid w:val="00DF1697"/>
    <w:rsid w:val="00E21E9B"/>
    <w:rsid w:val="00E22330"/>
    <w:rsid w:val="00E36C9E"/>
    <w:rsid w:val="00E62368"/>
    <w:rsid w:val="00E660F9"/>
    <w:rsid w:val="00E73445"/>
    <w:rsid w:val="00E847E1"/>
    <w:rsid w:val="00E87CFB"/>
    <w:rsid w:val="00EA5BD2"/>
    <w:rsid w:val="00EB2FEF"/>
    <w:rsid w:val="00ED7249"/>
    <w:rsid w:val="00EE2FCB"/>
    <w:rsid w:val="00F06410"/>
    <w:rsid w:val="00F127EF"/>
    <w:rsid w:val="00F205CD"/>
    <w:rsid w:val="00F30A2E"/>
    <w:rsid w:val="00F348CD"/>
    <w:rsid w:val="00F43594"/>
    <w:rsid w:val="00F44031"/>
    <w:rsid w:val="00F539A2"/>
    <w:rsid w:val="00F71D13"/>
    <w:rsid w:val="00F964D3"/>
    <w:rsid w:val="00FC5675"/>
    <w:rsid w:val="06500D15"/>
    <w:rsid w:val="07F26AC1"/>
    <w:rsid w:val="09EFB7A2"/>
    <w:rsid w:val="0BB7B714"/>
    <w:rsid w:val="128CF391"/>
    <w:rsid w:val="1DD92EDD"/>
    <w:rsid w:val="2000C87A"/>
    <w:rsid w:val="230B98CF"/>
    <w:rsid w:val="2DD14E72"/>
    <w:rsid w:val="32194533"/>
    <w:rsid w:val="34FEDFA7"/>
    <w:rsid w:val="369F593A"/>
    <w:rsid w:val="374C9155"/>
    <w:rsid w:val="383814D8"/>
    <w:rsid w:val="38DC9542"/>
    <w:rsid w:val="3C53924A"/>
    <w:rsid w:val="41641B85"/>
    <w:rsid w:val="47D33F8F"/>
    <w:rsid w:val="4959E5F3"/>
    <w:rsid w:val="4BE621DD"/>
    <w:rsid w:val="4C519343"/>
    <w:rsid w:val="4D9DEA92"/>
    <w:rsid w:val="50EFDBEC"/>
    <w:rsid w:val="51E52369"/>
    <w:rsid w:val="5305EDC2"/>
    <w:rsid w:val="5A1477F8"/>
    <w:rsid w:val="5A6F7869"/>
    <w:rsid w:val="5DA99854"/>
    <w:rsid w:val="5FD82087"/>
    <w:rsid w:val="654E381F"/>
    <w:rsid w:val="663B0077"/>
    <w:rsid w:val="6741401F"/>
    <w:rsid w:val="684B0B33"/>
    <w:rsid w:val="695CCEFC"/>
    <w:rsid w:val="698867F5"/>
    <w:rsid w:val="6EB9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34EEC3"/>
  <w15:docId w15:val="{1FA8A09A-EC3F-4944-9E66-F728BB50C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11204C"/>
        <w:lang w:val="fr-FR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260" w:lineRule="atLeast"/>
    </w:pPr>
    <w:rPr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line="276" w:lineRule="auto"/>
      <w:ind w:left="708"/>
      <w:outlineLvl w:val="0"/>
    </w:pPr>
    <w:rPr>
      <w:rFonts w:eastAsia="MS Gothic"/>
      <w:b/>
      <w:bCs/>
      <w:color w:val="17153B"/>
      <w:sz w:val="28"/>
      <w:szCs w:val="28"/>
      <w:lang w:val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ind w:left="708"/>
      <w:outlineLvl w:val="1"/>
    </w:pPr>
    <w:rPr>
      <w:rFonts w:eastAsia="MS Gothic"/>
      <w:b/>
      <w:bCs/>
      <w:color w:val="201C50"/>
      <w:sz w:val="26"/>
      <w:szCs w:val="26"/>
      <w:lang w:val="en-US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ind w:left="708"/>
      <w:outlineLvl w:val="2"/>
    </w:pPr>
    <w:rPr>
      <w:rFonts w:eastAsia="MS Gothic"/>
      <w:b/>
      <w:bCs/>
      <w:color w:val="201C50"/>
      <w:szCs w:val="22"/>
      <w:lang w:val="en-US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pPr>
      <w:spacing w:line="240" w:lineRule="auto"/>
    </w:pPr>
    <w:rPr>
      <w:rFonts w:ascii="Century Gothic" w:hAnsi="Century Gothic"/>
      <w:color w:val="auto"/>
      <w:sz w:val="28"/>
    </w:rPr>
  </w:style>
  <w:style w:type="paragraph" w:styleId="Piedepgina">
    <w:name w:val="footer"/>
    <w:basedOn w:val="Normal"/>
    <w:pPr>
      <w:tabs>
        <w:tab w:val="center" w:pos="4536"/>
        <w:tab w:val="right" w:pos="9072"/>
      </w:tabs>
      <w:spacing w:line="240" w:lineRule="auto"/>
    </w:pPr>
  </w:style>
  <w:style w:type="paragraph" w:customStyle="1" w:styleId="EdenredDate">
    <w:name w:val="Edenred Date"/>
    <w:basedOn w:val="Encabezado"/>
    <w:pPr>
      <w:jc w:val="right"/>
    </w:pPr>
    <w:rPr>
      <w:sz w:val="20"/>
    </w:rPr>
  </w:style>
  <w:style w:type="paragraph" w:customStyle="1" w:styleId="EdenredTitle">
    <w:name w:val="Edenred Title"/>
    <w:basedOn w:val="Text"/>
    <w:rPr>
      <w:color w:val="162056"/>
      <w:sz w:val="40"/>
      <w:szCs w:val="40"/>
    </w:rPr>
  </w:style>
  <w:style w:type="paragraph" w:customStyle="1" w:styleId="Edenredsubtitle">
    <w:name w:val="Edenred subtitle"/>
    <w:basedOn w:val="Normal"/>
    <w:pPr>
      <w:spacing w:line="254" w:lineRule="auto"/>
      <w:jc w:val="both"/>
    </w:pPr>
    <w:rPr>
      <w:rFonts w:ascii="Century Gothic" w:hAnsi="Century Gothic"/>
      <w:color w:val="003591"/>
      <w:sz w:val="30"/>
      <w:szCs w:val="30"/>
      <w:lang w:val="en-US"/>
    </w:rPr>
  </w:style>
  <w:style w:type="paragraph" w:customStyle="1" w:styleId="Text">
    <w:name w:val="Text"/>
    <w:basedOn w:val="Normal"/>
    <w:pPr>
      <w:spacing w:line="254" w:lineRule="auto"/>
      <w:jc w:val="both"/>
    </w:pPr>
    <w:rPr>
      <w:rFonts w:ascii="Century Gothic" w:hAnsi="Century Gothic"/>
      <w:color w:val="auto"/>
      <w:lang w:val="en-US"/>
    </w:rPr>
  </w:style>
  <w:style w:type="character" w:customStyle="1" w:styleId="PiedepginaCar">
    <w:name w:val="Pie de página Car"/>
    <w:basedOn w:val="Fuentedeprrafopredeter"/>
    <w:rPr>
      <w:rFonts w:ascii="Arial" w:hAnsi="Arial"/>
      <w:color w:val="11204C"/>
      <w:lang w:eastAsia="en-US"/>
    </w:rPr>
  </w:style>
  <w:style w:type="paragraph" w:styleId="Textodeglobo">
    <w:name w:val="Balloon Text"/>
    <w:basedOn w:val="Normal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hAnsi="Tahoma" w:cs="Tahoma"/>
      <w:color w:val="11204C"/>
      <w:sz w:val="16"/>
      <w:szCs w:val="16"/>
      <w:lang w:eastAsia="en-US"/>
    </w:rPr>
  </w:style>
  <w:style w:type="paragraph" w:customStyle="1" w:styleId="Page">
    <w:name w:val="Page"/>
    <w:basedOn w:val="Normal"/>
    <w:pPr>
      <w:jc w:val="right"/>
    </w:pPr>
    <w:rPr>
      <w:sz w:val="16"/>
    </w:rPr>
  </w:style>
  <w:style w:type="character" w:customStyle="1" w:styleId="TextCar">
    <w:name w:val="Text Car"/>
    <w:rPr>
      <w:rFonts w:ascii="Century Gothic" w:hAnsi="Century Gothic" w:cs="Arial"/>
      <w:lang w:val="en-US" w:eastAsia="en-US"/>
    </w:rPr>
  </w:style>
  <w:style w:type="paragraph" w:styleId="Textonotapie">
    <w:name w:val="footnote text"/>
    <w:basedOn w:val="Normal"/>
    <w:pPr>
      <w:spacing w:line="240" w:lineRule="auto"/>
    </w:pPr>
    <w:rPr>
      <w:rFonts w:ascii="Century Gothic" w:hAnsi="Century Gothic"/>
      <w:color w:val="auto"/>
      <w:sz w:val="14"/>
    </w:rPr>
  </w:style>
  <w:style w:type="character" w:customStyle="1" w:styleId="TextonotapieCar">
    <w:name w:val="Texto nota pie Car"/>
    <w:rPr>
      <w:rFonts w:ascii="Century Gothic" w:hAnsi="Century Gothic"/>
      <w:sz w:val="14"/>
      <w:lang w:eastAsia="en-US"/>
    </w:rPr>
  </w:style>
  <w:style w:type="character" w:styleId="Refdenotaalpie">
    <w:name w:val="footnote reference"/>
    <w:rPr>
      <w:position w:val="0"/>
      <w:vertAlign w:val="superscript"/>
    </w:rPr>
  </w:style>
  <w:style w:type="character" w:customStyle="1" w:styleId="Ttulo1Car">
    <w:name w:val="Título 1 Car"/>
    <w:rPr>
      <w:rFonts w:ascii="Arial" w:eastAsia="MS Gothic" w:hAnsi="Arial"/>
      <w:b/>
      <w:bCs/>
      <w:color w:val="17153B"/>
      <w:sz w:val="28"/>
      <w:szCs w:val="28"/>
      <w:lang w:val="en-US" w:eastAsia="en-US"/>
    </w:rPr>
  </w:style>
  <w:style w:type="character" w:customStyle="1" w:styleId="Ttulo2Car">
    <w:name w:val="Título 2 Car"/>
    <w:rPr>
      <w:rFonts w:ascii="Arial" w:eastAsia="MS Gothic" w:hAnsi="Arial"/>
      <w:b/>
      <w:bCs/>
      <w:color w:val="201C50"/>
      <w:sz w:val="26"/>
      <w:szCs w:val="26"/>
      <w:lang w:val="en-US" w:eastAsia="en-US"/>
    </w:rPr>
  </w:style>
  <w:style w:type="character" w:customStyle="1" w:styleId="Ttulo3Car">
    <w:name w:val="Título 3 Car"/>
    <w:rPr>
      <w:rFonts w:ascii="Arial" w:eastAsia="MS Gothic" w:hAnsi="Arial"/>
      <w:b/>
      <w:bCs/>
      <w:color w:val="201C50"/>
      <w:szCs w:val="22"/>
      <w:lang w:val="en-US" w:eastAsia="en-US"/>
    </w:rPr>
  </w:style>
  <w:style w:type="paragraph" w:customStyle="1" w:styleId="Title1">
    <w:name w:val="Title 1"/>
    <w:basedOn w:val="Normal"/>
    <w:pPr>
      <w:spacing w:line="254" w:lineRule="auto"/>
      <w:jc w:val="both"/>
    </w:pPr>
    <w:rPr>
      <w:rFonts w:ascii="Century Gothic" w:hAnsi="Century Gothic"/>
      <w:b/>
      <w:color w:val="003591"/>
      <w:sz w:val="28"/>
      <w:szCs w:val="28"/>
      <w:lang w:val="en-US" w:eastAsia="fr-FR"/>
    </w:rPr>
  </w:style>
  <w:style w:type="character" w:customStyle="1" w:styleId="Title1Car">
    <w:name w:val="Title 1 Car"/>
    <w:rPr>
      <w:rFonts w:ascii="Century Gothic" w:hAnsi="Century Gothic" w:cs="Arial"/>
      <w:b/>
      <w:color w:val="003591"/>
      <w:sz w:val="28"/>
      <w:szCs w:val="28"/>
      <w:lang w:val="en-US"/>
    </w:rPr>
  </w:style>
  <w:style w:type="paragraph" w:customStyle="1" w:styleId="Title2">
    <w:name w:val="Title 2"/>
    <w:basedOn w:val="Normal"/>
    <w:next w:val="Normal"/>
    <w:pPr>
      <w:spacing w:line="276" w:lineRule="auto"/>
      <w:jc w:val="both"/>
    </w:pPr>
    <w:rPr>
      <w:rFonts w:ascii="Century Gothic" w:hAnsi="Century Gothic"/>
      <w:b/>
      <w:color w:val="003591"/>
      <w:sz w:val="24"/>
      <w:szCs w:val="24"/>
      <w:lang w:val="en-US"/>
    </w:rPr>
  </w:style>
  <w:style w:type="character" w:customStyle="1" w:styleId="Title2Car">
    <w:name w:val="Title 2 Car"/>
    <w:rPr>
      <w:rFonts w:ascii="Century Gothic" w:hAnsi="Century Gothic" w:cs="Arial"/>
      <w:b/>
      <w:color w:val="003591"/>
      <w:sz w:val="24"/>
      <w:szCs w:val="24"/>
      <w:lang w:val="en-US" w:eastAsia="en-US"/>
    </w:rPr>
  </w:style>
  <w:style w:type="paragraph" w:customStyle="1" w:styleId="BulletLead-in1">
    <w:name w:val="Bullet Lead-in 1"/>
    <w:basedOn w:val="Normal"/>
    <w:pPr>
      <w:spacing w:line="254" w:lineRule="auto"/>
      <w:contextualSpacing/>
      <w:jc w:val="both"/>
    </w:pPr>
    <w:rPr>
      <w:rFonts w:ascii="Century Gothic" w:hAnsi="Century Gothic"/>
      <w:b/>
      <w:color w:val="auto"/>
      <w:lang w:val="en-US"/>
    </w:rPr>
  </w:style>
  <w:style w:type="character" w:customStyle="1" w:styleId="BulletLead-in1Car">
    <w:name w:val="Bullet Lead-in 1 Car"/>
    <w:rPr>
      <w:rFonts w:ascii="Century Gothic" w:hAnsi="Century Gothic" w:cs="Arial"/>
      <w:b/>
      <w:lang w:val="en-US" w:eastAsia="en-US"/>
    </w:rPr>
  </w:style>
  <w:style w:type="paragraph" w:customStyle="1" w:styleId="BulletLead-in2">
    <w:name w:val="Bullet Lead-in 2"/>
    <w:basedOn w:val="Normal"/>
    <w:pPr>
      <w:numPr>
        <w:numId w:val="1"/>
      </w:numPr>
    </w:pPr>
    <w:rPr>
      <w:rFonts w:ascii="Century Gothic" w:hAnsi="Century Gothic"/>
      <w:color w:val="auto"/>
    </w:rPr>
  </w:style>
  <w:style w:type="character" w:customStyle="1" w:styleId="BulletLead-in2Car">
    <w:name w:val="Bullet Lead-in 2 Car"/>
    <w:rPr>
      <w:rFonts w:ascii="Century Gothic" w:hAnsi="Century Gothic"/>
      <w:lang w:eastAsia="en-US"/>
    </w:rPr>
  </w:style>
  <w:style w:type="paragraph" w:styleId="TtuloTDC">
    <w:name w:val="TOC Heading"/>
    <w:basedOn w:val="Ttulo1"/>
    <w:next w:val="Normal"/>
    <w:rPr>
      <w:lang w:eastAsia="fr-FR"/>
    </w:rPr>
  </w:style>
  <w:style w:type="paragraph" w:styleId="Textoindependiente">
    <w:name w:val="Body Text"/>
    <w:basedOn w:val="Normal"/>
    <w:pPr>
      <w:spacing w:after="120" w:line="276" w:lineRule="auto"/>
      <w:ind w:left="708"/>
    </w:pPr>
    <w:rPr>
      <w:color w:val="002060"/>
      <w:szCs w:val="22"/>
      <w:lang w:val="en-US"/>
    </w:rPr>
  </w:style>
  <w:style w:type="character" w:customStyle="1" w:styleId="TextoindependienteCar">
    <w:name w:val="Texto independiente Car"/>
    <w:rPr>
      <w:rFonts w:ascii="Arial" w:eastAsia="Arial" w:hAnsi="Arial"/>
      <w:color w:val="002060"/>
      <w:szCs w:val="22"/>
      <w:lang w:val="en-US" w:eastAsia="en-US"/>
    </w:rPr>
  </w:style>
  <w:style w:type="character" w:customStyle="1" w:styleId="EncabezadoCar">
    <w:name w:val="Encabezado Car"/>
    <w:rPr>
      <w:rFonts w:ascii="Century Gothic" w:hAnsi="Century Gothic"/>
      <w:sz w:val="28"/>
      <w:lang w:eastAsia="en-US"/>
    </w:rPr>
  </w:style>
  <w:style w:type="character" w:styleId="Hipervnculo">
    <w:name w:val="Hyperlink"/>
    <w:rPr>
      <w:color w:val="55517B"/>
    </w:rPr>
  </w:style>
  <w:style w:type="paragraph" w:styleId="Textonotaalfinal">
    <w:name w:val="endnote text"/>
    <w:basedOn w:val="Normal"/>
    <w:pPr>
      <w:spacing w:line="240" w:lineRule="auto"/>
      <w:ind w:left="708"/>
    </w:pPr>
    <w:rPr>
      <w:color w:val="002060"/>
      <w:lang w:val="en-US"/>
    </w:rPr>
  </w:style>
  <w:style w:type="character" w:customStyle="1" w:styleId="TextonotaalfinalCar">
    <w:name w:val="Texto nota al final Car"/>
    <w:rPr>
      <w:rFonts w:ascii="Arial" w:eastAsia="Arial" w:hAnsi="Arial"/>
      <w:color w:val="002060"/>
      <w:lang w:val="en-US" w:eastAsia="en-US"/>
    </w:rPr>
  </w:style>
  <w:style w:type="character" w:styleId="Refdenotaalfinal">
    <w:name w:val="endnote reference"/>
    <w:rPr>
      <w:position w:val="0"/>
      <w:vertAlign w:val="superscript"/>
    </w:rPr>
  </w:style>
  <w:style w:type="character" w:styleId="Refdecomentario">
    <w:name w:val="annotation reference"/>
    <w:rPr>
      <w:sz w:val="16"/>
      <w:szCs w:val="16"/>
    </w:rPr>
  </w:style>
  <w:style w:type="paragraph" w:styleId="Textocomentario">
    <w:name w:val="annotation text"/>
    <w:basedOn w:val="Normal"/>
    <w:pPr>
      <w:spacing w:after="200" w:line="240" w:lineRule="auto"/>
      <w:ind w:left="708"/>
    </w:pPr>
    <w:rPr>
      <w:color w:val="002060"/>
      <w:lang w:val="en-US"/>
    </w:rPr>
  </w:style>
  <w:style w:type="character" w:customStyle="1" w:styleId="TextocomentarioCar">
    <w:name w:val="Texto comentario Car"/>
    <w:rPr>
      <w:rFonts w:ascii="Arial" w:eastAsia="Arial" w:hAnsi="Arial"/>
      <w:color w:val="002060"/>
      <w:lang w:val="en-US" w:eastAsia="en-US"/>
    </w:rPr>
  </w:style>
  <w:style w:type="paragraph" w:styleId="Asuntodelcomentario">
    <w:name w:val="annotation subject"/>
    <w:basedOn w:val="Textocomentario"/>
    <w:next w:val="Textocomentario"/>
    <w:rPr>
      <w:b/>
      <w:bCs/>
    </w:rPr>
  </w:style>
  <w:style w:type="character" w:customStyle="1" w:styleId="AsuntodelcomentarioCar">
    <w:name w:val="Asunto del comentario Car"/>
    <w:rPr>
      <w:rFonts w:ascii="Arial" w:eastAsia="Arial" w:hAnsi="Arial"/>
      <w:b/>
      <w:bCs/>
      <w:color w:val="002060"/>
      <w:lang w:val="en-US" w:eastAsia="en-US"/>
    </w:rPr>
  </w:style>
  <w:style w:type="paragraph" w:styleId="Revisin">
    <w:name w:val="Revision"/>
    <w:pPr>
      <w:suppressAutoHyphens/>
    </w:pPr>
    <w:rPr>
      <w:color w:val="002060"/>
      <w:szCs w:val="22"/>
      <w:lang w:val="en-US" w:eastAsia="en-US"/>
    </w:rPr>
  </w:style>
  <w:style w:type="character" w:styleId="Hipervnculovisitado">
    <w:name w:val="FollowedHyperlink"/>
    <w:rPr>
      <w:color w:val="0F004E"/>
      <w:u w:val="single"/>
    </w:rPr>
  </w:style>
  <w:style w:type="paragraph" w:customStyle="1" w:styleId="Tablecaptiontext">
    <w:name w:val="Table caption text"/>
    <w:basedOn w:val="Normal"/>
    <w:pPr>
      <w:spacing w:line="260" w:lineRule="exact"/>
      <w:ind w:right="113"/>
    </w:pPr>
    <w:rPr>
      <w:rFonts w:ascii="Century Gothic" w:hAnsi="Century Gothic"/>
      <w:color w:val="auto"/>
      <w:sz w:val="16"/>
      <w:lang w:val="en-GB" w:eastAsia="fr-FR"/>
    </w:rPr>
  </w:style>
  <w:style w:type="paragraph" w:customStyle="1" w:styleId="Tablecolumntitle">
    <w:name w:val="Table column title"/>
    <w:basedOn w:val="Normal"/>
    <w:pPr>
      <w:spacing w:line="260" w:lineRule="exact"/>
      <w:ind w:left="113" w:right="113"/>
      <w:jc w:val="right"/>
    </w:pPr>
    <w:rPr>
      <w:rFonts w:ascii="Century Gothic" w:hAnsi="Century Gothic"/>
      <w:color w:val="auto"/>
      <w:sz w:val="16"/>
      <w:lang w:val="en-GB" w:eastAsia="fr-FR"/>
    </w:rPr>
  </w:style>
  <w:style w:type="character" w:customStyle="1" w:styleId="BoilerPlateChar">
    <w:name w:val="Boiler Plate Char"/>
    <w:rPr>
      <w:rFonts w:ascii="Century Gothic" w:eastAsia="Calibri" w:hAnsi="Century Gothic" w:cs="Calibri"/>
      <w:sz w:val="16"/>
      <w:szCs w:val="14"/>
      <w:lang w:val="en-US" w:eastAsia="en-US"/>
    </w:rPr>
  </w:style>
  <w:style w:type="paragraph" w:customStyle="1" w:styleId="BoilerPlate">
    <w:name w:val="Boiler Plate"/>
    <w:basedOn w:val="Normal"/>
    <w:pPr>
      <w:spacing w:line="254" w:lineRule="auto"/>
      <w:jc w:val="both"/>
    </w:pPr>
    <w:rPr>
      <w:rFonts w:ascii="Century Gothic" w:eastAsia="Calibri" w:hAnsi="Century Gothic" w:cs="Calibri"/>
      <w:color w:val="auto"/>
      <w:sz w:val="16"/>
      <w:szCs w:val="14"/>
      <w:lang w:val="en-US"/>
    </w:rPr>
  </w:style>
  <w:style w:type="paragraph" w:customStyle="1" w:styleId="Pagefooter">
    <w:name w:val="Page footer"/>
    <w:basedOn w:val="Normal"/>
    <w:pPr>
      <w:spacing w:line="200" w:lineRule="exact"/>
      <w:ind w:right="-199"/>
      <w:jc w:val="right"/>
    </w:pPr>
    <w:rPr>
      <w:color w:val="D52B1E"/>
      <w:sz w:val="12"/>
      <w:lang w:eastAsia="fr-FR"/>
    </w:rPr>
  </w:style>
  <w:style w:type="paragraph" w:customStyle="1" w:styleId="Title3">
    <w:name w:val="Title 3"/>
    <w:basedOn w:val="Normal"/>
    <w:pPr>
      <w:spacing w:line="254" w:lineRule="auto"/>
    </w:pPr>
    <w:rPr>
      <w:rFonts w:ascii="Century Gothic" w:hAnsi="Century Gothic"/>
      <w:b/>
      <w:color w:val="003591"/>
      <w:lang w:val="en-US"/>
    </w:rPr>
  </w:style>
  <w:style w:type="character" w:customStyle="1" w:styleId="Title3Car">
    <w:name w:val="Title 3 Car"/>
    <w:basedOn w:val="Fuentedeprrafopredeter"/>
    <w:rPr>
      <w:rFonts w:ascii="Century Gothic" w:hAnsi="Century Gothic" w:cs="Arial"/>
      <w:b/>
      <w:color w:val="003591"/>
      <w:lang w:val="en-US" w:eastAsia="en-US"/>
    </w:rPr>
  </w:style>
  <w:style w:type="paragraph" w:customStyle="1" w:styleId="Lead-in">
    <w:name w:val="Lead-in"/>
    <w:basedOn w:val="Text"/>
  </w:style>
  <w:style w:type="character" w:customStyle="1" w:styleId="Lead-inCar">
    <w:name w:val="Lead-in Car"/>
    <w:basedOn w:val="TextCar"/>
    <w:rPr>
      <w:rFonts w:ascii="Century Gothic" w:hAnsi="Century Gothic" w:cs="Arial"/>
      <w:lang w:val="en-US" w:eastAsia="en-US"/>
    </w:rPr>
  </w:style>
  <w:style w:type="paragraph" w:customStyle="1" w:styleId="BoxBullet1">
    <w:name w:val="Box Bullet 1"/>
    <w:pPr>
      <w:numPr>
        <w:numId w:val="2"/>
      </w:numPr>
      <w:suppressAutoHyphens/>
    </w:pPr>
    <w:rPr>
      <w:rFonts w:ascii="Century Gothic" w:hAnsi="Century Gothic"/>
      <w:b/>
      <w:color w:val="003591"/>
      <w:lang w:val="en-US"/>
    </w:rPr>
  </w:style>
  <w:style w:type="paragraph" w:styleId="Prrafodelista">
    <w:name w:val="List Paragraph"/>
    <w:basedOn w:val="Normal"/>
    <w:pPr>
      <w:ind w:left="720"/>
      <w:contextualSpacing/>
    </w:pPr>
  </w:style>
  <w:style w:type="paragraph" w:customStyle="1" w:styleId="BoxBullet2">
    <w:name w:val="Box Bullet 2"/>
    <w:pPr>
      <w:tabs>
        <w:tab w:val="num" w:pos="720"/>
      </w:tabs>
      <w:suppressAutoHyphens/>
      <w:ind w:left="720" w:hanging="720"/>
    </w:pPr>
    <w:rPr>
      <w:rFonts w:ascii="Century Gothic" w:hAnsi="Century Gothic"/>
      <w:lang w:eastAsia="en-US"/>
    </w:rPr>
  </w:style>
  <w:style w:type="character" w:customStyle="1" w:styleId="PrrafodelistaCar">
    <w:name w:val="Párrafo de lista Car"/>
    <w:rPr>
      <w:rFonts w:ascii="Arial" w:hAnsi="Arial"/>
      <w:color w:val="11204C"/>
      <w:lang w:eastAsia="en-US"/>
    </w:rPr>
  </w:style>
  <w:style w:type="paragraph" w:styleId="NormalWeb">
    <w:name w:val="Normal (Web)"/>
    <w:basedOn w:val="Normal"/>
    <w:uiPriority w:val="99"/>
    <w:pPr>
      <w:spacing w:line="240" w:lineRule="auto"/>
    </w:pPr>
    <w:rPr>
      <w:rFonts w:ascii="Calibri" w:eastAsia="Century Gothic" w:hAnsi="Calibri" w:cs="Calibri"/>
      <w:color w:val="auto"/>
      <w:sz w:val="22"/>
      <w:szCs w:val="22"/>
      <w:lang w:val="en-US" w:eastAsia="fr-FR"/>
    </w:rPr>
  </w:style>
  <w:style w:type="paragraph" w:customStyle="1" w:styleId="paragraph">
    <w:name w:val="paragraph"/>
    <w:basedOn w:val="Normal"/>
    <w:pPr>
      <w:spacing w:before="100" w:after="100" w:line="240" w:lineRule="auto"/>
    </w:pPr>
    <w:rPr>
      <w:rFonts w:ascii="Times New Roman" w:hAnsi="Times New Roman"/>
      <w:color w:val="auto"/>
      <w:sz w:val="24"/>
      <w:szCs w:val="24"/>
      <w:lang w:eastAsia="fr-FR"/>
    </w:rPr>
  </w:style>
  <w:style w:type="character" w:customStyle="1" w:styleId="normaltextrun">
    <w:name w:val="normaltextrun"/>
    <w:basedOn w:val="Fuentedeprrafopredeter"/>
  </w:style>
  <w:style w:type="character" w:customStyle="1" w:styleId="eop">
    <w:name w:val="eop"/>
    <w:basedOn w:val="Fuentedeprrafopredeter"/>
  </w:style>
  <w:style w:type="character" w:styleId="Mencinsinresolver">
    <w:name w:val="Unresolved Mention"/>
    <w:basedOn w:val="Fuentedeprrafopredeter"/>
    <w:rPr>
      <w:color w:val="605E5C"/>
      <w:shd w:val="clear" w:color="auto" w:fill="E1DFDD"/>
    </w:rPr>
  </w:style>
  <w:style w:type="numbering" w:customStyle="1" w:styleId="LFO10">
    <w:name w:val="LFO10"/>
    <w:basedOn w:val="Sinlista"/>
  </w:style>
  <w:style w:type="numbering" w:customStyle="1" w:styleId="LFO19">
    <w:name w:val="LFO19"/>
    <w:basedOn w:val="Sinlista"/>
  </w:style>
  <w:style w:type="numbering" w:customStyle="1" w:styleId="LFO20">
    <w:name w:val="LFO20"/>
    <w:basedOn w:val="Sinlista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anormal"/>
    <w:tblPr>
      <w:tblStyleRowBandSize w:val="1"/>
      <w:tblStyleColBandSize w:val="1"/>
      <w:tblInd w:w="0" w:type="nil"/>
      <w:tblCellMar>
        <w:left w:w="10" w:type="dxa"/>
        <w:right w:w="10" w:type="dxa"/>
      </w:tblCellMar>
    </w:tblPr>
  </w:style>
  <w:style w:type="table" w:customStyle="1" w:styleId="TableNormal1">
    <w:name w:val="Table Normal1"/>
    <w:rsid w:val="007A462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ldefense.com/v3/__https:/www.rrhhpress.com/mundo-prl/62592-ley-movilidad-sostenible-bienestar-trabajo-espanoles__;!!EyGG_rL3!Fhmt278AxfS7kRyFFyu_fVMyJcCbDegWQ2R9dk9p3JT7n9He5skmDQW69zxN30kwA5B5X1XL-JNWlaUWECjxHukToCn4sOmEUII$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rldefense.com/v3/__https:/www.rrhhdigital.com/secciones/eventos-rrhhdigital/784805/formacion-practica-innovacion-y-estrategia-asi-triunfaron-los-workshops-del-hr-innovation-summit-2025/__;!!EyGG_rL3!Fhmt278AxfS7kRyFFyu_fVMyJcCbDegWQ2R9dk9p3JT7n9He5skmDQW69zxN30kwA5B5X1XL-JNWlaUWECjxHukToCn4i0pV-d8$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ldefense.com/v3/__https:/directivosygerentes.es/management/distancia-al-trabajo-conciliacion-talento__;!!EyGG_rL3!Fhmt278AxfS7kRyFFyu_fVMyJcCbDegWQ2R9dk9p3JT7n9He5skmDQW69zxN30kwA5B5X1XL-JNWlaUWECjxHukToCn4fkI5aDQ$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quipo.edenred@newlink-group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lejandro.delgadosanchez@edenred.com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A4bHXuFG8ZK1f8jUvsxeC2OwKQ==">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1112</Words>
  <Characters>7051</Characters>
  <Application>Microsoft Office Word</Application>
  <DocSecurity>0</DocSecurity>
  <Lines>58</Lines>
  <Paragraphs>16</Paragraphs>
  <ScaleCrop>false</ScaleCrop>
  <Company/>
  <LinksUpToDate>false</LinksUpToDate>
  <CharactersWithSpaces>8147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COURTOIS Cécile</dc:creator>
  <cp:keywords/>
  <cp:lastModifiedBy>SÁNCHEZ Míriam</cp:lastModifiedBy>
  <cp:revision>136</cp:revision>
  <dcterms:created xsi:type="dcterms:W3CDTF">2025-06-05T04:13:00Z</dcterms:created>
  <dcterms:modified xsi:type="dcterms:W3CDTF">2026-07-21T07:06:00Z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0x010100C507B8DFC332A440B799D44257F07BA7</vt:lpwstr>
  </property>
  <property fmtid="{D5CDD505-2E9C-101B-9397-08002B2CF9AE}" pid="3" name="GrammarlyDocumentId">
    <vt:lpwstr>797d063b200a87c27582bd0be5c9c9e5374e71033a601ec6e631990873192edf</vt:lpwstr>
  </property>
  <property fmtid="{D5CDD505-2E9C-101B-9397-08002B2CF9AE}" pid="4" name="MSIP_Label_16091971-b0ef-48f5-bce1-a3196e01ad58_Enabled">
    <vt:lpwstr>true</vt:lpwstr>
  </property>
  <property fmtid="{D5CDD505-2E9C-101B-9397-08002B2CF9AE}" pid="5" name="MSIP_Label_16091971-b0ef-48f5-bce1-a3196e01ad58_SetDate">
    <vt:lpwstr>2026-07-21T07:04:28Z</vt:lpwstr>
  </property>
  <property fmtid="{D5CDD505-2E9C-101B-9397-08002B2CF9AE}" pid="6" name="MSIP_Label_16091971-b0ef-48f5-bce1-a3196e01ad58_Method">
    <vt:lpwstr>Privileged</vt:lpwstr>
  </property>
  <property fmtid="{D5CDD505-2E9C-101B-9397-08002B2CF9AE}" pid="7" name="MSIP_Label_16091971-b0ef-48f5-bce1-a3196e01ad58_Name">
    <vt:lpwstr>C2 – Internal</vt:lpwstr>
  </property>
  <property fmtid="{D5CDD505-2E9C-101B-9397-08002B2CF9AE}" pid="8" name="MSIP_Label_16091971-b0ef-48f5-bce1-a3196e01ad58_SiteId">
    <vt:lpwstr>4c1d9e0f-5c27-4228-a35a-de7b4083ff7b</vt:lpwstr>
  </property>
  <property fmtid="{D5CDD505-2E9C-101B-9397-08002B2CF9AE}" pid="9" name="MSIP_Label_16091971-b0ef-48f5-bce1-a3196e01ad58_ActionId">
    <vt:lpwstr>4a827dd9-9af8-4e81-bf90-95b5cea80c30</vt:lpwstr>
  </property>
  <property fmtid="{D5CDD505-2E9C-101B-9397-08002B2CF9AE}" pid="10" name="MSIP_Label_16091971-b0ef-48f5-bce1-a3196e01ad58_ContentBits">
    <vt:lpwstr>0</vt:lpwstr>
  </property>
  <property fmtid="{D5CDD505-2E9C-101B-9397-08002B2CF9AE}" pid="11" name="MSIP_Label_16091971-b0ef-48f5-bce1-a3196e01ad58_Tag">
    <vt:lpwstr>10, 0, 1, 1</vt:lpwstr>
  </property>
</Properties>
</file>