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63F1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right" w:pos="8504"/>
        </w:tabs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28"/>
          <w:szCs w:val="28"/>
          <w:lang w:val="es-ES"/>
        </w:rPr>
        <w:t>Nota de prensa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0CF9CF7E" wp14:editId="6699C207">
            <wp:simplePos x="0" y="0"/>
            <wp:positionH relativeFrom="column">
              <wp:posOffset>-19685</wp:posOffset>
            </wp:positionH>
            <wp:positionV relativeFrom="paragraph">
              <wp:posOffset>-345438</wp:posOffset>
            </wp:positionV>
            <wp:extent cx="1421763" cy="878208"/>
            <wp:effectExtent l="0" t="0" r="0" b="0"/>
            <wp:wrapNone/>
            <wp:docPr id="82793767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1763" cy="8782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721C22F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22"/>
          <w:szCs w:val="22"/>
          <w:lang w:val="es-ES"/>
        </w:rPr>
        <w:t>18 de junio de 2025</w:t>
      </w:r>
    </w:p>
    <w:p w14:paraId="5523504D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709" w:hanging="709"/>
        <w:jc w:val="center"/>
        <w:rPr>
          <w:rFonts w:ascii="Century Gothic" w:eastAsia="Century Gothic" w:hAnsi="Century Gothic" w:cs="Century Gothic"/>
          <w:color w:val="162056"/>
          <w:sz w:val="48"/>
          <w:szCs w:val="48"/>
          <w:lang w:val="es-ES"/>
        </w:rPr>
      </w:pPr>
    </w:p>
    <w:p w14:paraId="048DFD5E" w14:textId="2E436F43" w:rsidR="0057489F" w:rsidRPr="00C30B84" w:rsidRDefault="0057489F">
      <w:pPr>
        <w:jc w:val="center"/>
        <w:rPr>
          <w:rFonts w:ascii="Century Gothic" w:eastAsia="Century Gothic" w:hAnsi="Century Gothic" w:cs="Century Gothic"/>
          <w:color w:val="000000"/>
          <w:sz w:val="44"/>
          <w:szCs w:val="44"/>
          <w:lang w:val="es-ES"/>
        </w:rPr>
      </w:pPr>
      <w:r w:rsidRPr="00C30B84">
        <w:rPr>
          <w:rFonts w:ascii="Century Gothic" w:eastAsia="Century Gothic" w:hAnsi="Century Gothic" w:cs="Century Gothic"/>
          <w:color w:val="000000" w:themeColor="text1"/>
          <w:sz w:val="44"/>
          <w:szCs w:val="44"/>
          <w:lang w:val="es-ES"/>
        </w:rPr>
        <w:t xml:space="preserve">El 65 % de los profesionales en España </w:t>
      </w:r>
      <w:r w:rsidR="00E847E1" w:rsidRPr="00C30B84">
        <w:rPr>
          <w:rFonts w:ascii="Century Gothic" w:eastAsia="Century Gothic" w:hAnsi="Century Gothic" w:cs="Century Gothic"/>
          <w:color w:val="000000" w:themeColor="text1"/>
          <w:sz w:val="44"/>
          <w:szCs w:val="44"/>
          <w:lang w:val="es-ES"/>
        </w:rPr>
        <w:t xml:space="preserve">no </w:t>
      </w:r>
      <w:r w:rsidR="000F4162" w:rsidRPr="00C30B84">
        <w:rPr>
          <w:rFonts w:ascii="Century Gothic" w:eastAsia="Century Gothic" w:hAnsi="Century Gothic" w:cs="Century Gothic"/>
          <w:color w:val="000000" w:themeColor="text1"/>
          <w:sz w:val="44"/>
          <w:szCs w:val="44"/>
          <w:lang w:val="es-ES"/>
        </w:rPr>
        <w:t>cumplen con la</w:t>
      </w:r>
      <w:r w:rsidR="00E847E1" w:rsidRPr="00C30B84">
        <w:rPr>
          <w:rFonts w:ascii="Century Gothic" w:eastAsia="Century Gothic" w:hAnsi="Century Gothic" w:cs="Century Gothic"/>
          <w:color w:val="000000" w:themeColor="text1"/>
          <w:sz w:val="44"/>
          <w:szCs w:val="44"/>
          <w:lang w:val="es-ES"/>
        </w:rPr>
        <w:t xml:space="preserve"> desconexión</w:t>
      </w:r>
      <w:r w:rsidRPr="00C30B84">
        <w:rPr>
          <w:rFonts w:ascii="Century Gothic" w:eastAsia="Century Gothic" w:hAnsi="Century Gothic" w:cs="Century Gothic"/>
          <w:color w:val="000000" w:themeColor="text1"/>
          <w:sz w:val="44"/>
          <w:szCs w:val="44"/>
          <w:lang w:val="es-ES"/>
        </w:rPr>
        <w:t xml:space="preserve"> fuera del horario laboral</w:t>
      </w:r>
      <w:r w:rsidR="28F34B86" w:rsidRPr="00C30B84">
        <w:rPr>
          <w:rFonts w:ascii="Century Gothic" w:eastAsia="Century Gothic" w:hAnsi="Century Gothic" w:cs="Century Gothic"/>
          <w:color w:val="000000" w:themeColor="text1"/>
          <w:sz w:val="44"/>
          <w:szCs w:val="44"/>
          <w:lang w:val="es-ES"/>
        </w:rPr>
        <w:t>, según Edenred</w:t>
      </w:r>
    </w:p>
    <w:p w14:paraId="662F4854" w14:textId="77777777" w:rsidR="001325F8" w:rsidRPr="00833D4F" w:rsidRDefault="001325F8">
      <w:pPr>
        <w:jc w:val="center"/>
        <w:rPr>
          <w:rFonts w:ascii="Century Gothic" w:eastAsia="Century Gothic" w:hAnsi="Century Gothic" w:cs="Century Gothic"/>
          <w:b/>
          <w:color w:val="000000"/>
          <w:sz w:val="44"/>
          <w:szCs w:val="44"/>
          <w:lang w:val="es-ES"/>
        </w:rPr>
      </w:pPr>
    </w:p>
    <w:p w14:paraId="0389B27D" w14:textId="7057C1C1" w:rsidR="0017574A" w:rsidRPr="0017574A" w:rsidRDefault="0017574A" w:rsidP="5ACDF7B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  <w:r w:rsidRPr="5ACDF7B4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El 71,4 % de los millennials</w:t>
      </w:r>
      <w:r w:rsidR="003D2293" w:rsidRPr="5ACDF7B4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 xml:space="preserve"> jóvenes</w:t>
      </w:r>
      <w:r w:rsidRPr="5ACDF7B4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 xml:space="preserve"> y el 66,7 % de la Generación Z siguen conectados fuera del horario</w:t>
      </w:r>
      <w:r w:rsidR="003D2293" w:rsidRPr="5ACDF7B4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.</w:t>
      </w:r>
    </w:p>
    <w:p w14:paraId="2BA436C5" w14:textId="22560D68" w:rsidR="1D57E07B" w:rsidRDefault="1D57E07B" w:rsidP="1D57E07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Century Gothic" w:hAnsi="Century Gothic" w:cs="Century Gothic"/>
          <w:b/>
          <w:bCs/>
          <w:color w:val="000000" w:themeColor="text1"/>
          <w:lang w:val="es-ES"/>
        </w:rPr>
      </w:pPr>
    </w:p>
    <w:p w14:paraId="40290EFA" w14:textId="13277726" w:rsidR="0034131E" w:rsidRPr="00ED7249" w:rsidRDefault="00ED7249" w:rsidP="001F79A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Gothic" w:hAnsi="Century Gothic" w:cs="Century Gothic"/>
          <w:b/>
          <w:bCs/>
          <w:color w:val="000000"/>
          <w:lang w:val="es-ES"/>
        </w:rPr>
      </w:pPr>
      <w:r w:rsidRPr="00ED7249">
        <w:rPr>
          <w:rFonts w:ascii="Century Gothic" w:hAnsi="Century Gothic" w:cs="Century Gothic"/>
          <w:b/>
          <w:bCs/>
          <w:color w:val="000000"/>
          <w:lang w:val="es-ES"/>
        </w:rPr>
        <w:t>Madrid, Galicia y Comunidad Valenciana encabezan el ranking de conexión fuera del horario laboral</w:t>
      </w:r>
      <w:r w:rsidR="00240C55">
        <w:rPr>
          <w:rFonts w:ascii="Century Gothic" w:hAnsi="Century Gothic" w:cs="Century Gothic"/>
          <w:b/>
          <w:bCs/>
          <w:color w:val="000000"/>
          <w:lang w:val="es-ES"/>
        </w:rPr>
        <w:t>.</w:t>
      </w:r>
    </w:p>
    <w:p w14:paraId="4AB0F885" w14:textId="77777777" w:rsidR="00584BD2" w:rsidRPr="00833D4F" w:rsidRDefault="00584BD2" w:rsidP="00584BD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lang w:val="es-ES"/>
        </w:rPr>
      </w:pPr>
    </w:p>
    <w:p w14:paraId="17FB9AC2" w14:textId="67F3647E" w:rsidR="0034131E" w:rsidRPr="00C30B84" w:rsidRDefault="001325F8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C30B84">
        <w:rPr>
          <w:rFonts w:ascii="Century Gothic" w:eastAsia="Century Gothic" w:hAnsi="Century Gothic" w:cs="Century Gothic"/>
          <w:color w:val="000000"/>
          <w:lang w:val="es-ES"/>
        </w:rPr>
        <w:t xml:space="preserve">Con la llegada del verano y la implantación de las jornadas intensivas en muchas empresas, vuelve a abrirse el debate sobre la desconexión digital. A pesar de los esfuerzos legislativos y las recomendaciones de los expertos, en España, </w:t>
      </w:r>
      <w:r w:rsidRPr="00C30B84">
        <w:rPr>
          <w:rFonts w:ascii="Century Gothic" w:eastAsia="Century Gothic" w:hAnsi="Century Gothic" w:cs="Century Gothic"/>
          <w:b/>
          <w:bCs/>
          <w:color w:val="000000"/>
          <w:lang w:val="es-ES"/>
        </w:rPr>
        <w:t>6 de cada 10 profesionales afirman seguir atendiendo comunicaciones laborales fuera de su jornada</w:t>
      </w:r>
      <w:r w:rsidRPr="00C30B84">
        <w:rPr>
          <w:rFonts w:ascii="Century Gothic" w:eastAsia="Century Gothic" w:hAnsi="Century Gothic" w:cs="Century Gothic"/>
          <w:color w:val="000000"/>
          <w:lang w:val="es-ES"/>
        </w:rPr>
        <w:t>, incluso en momentos de descanso o vacaciones</w:t>
      </w:r>
    </w:p>
    <w:p w14:paraId="2474408C" w14:textId="77777777" w:rsidR="001325F8" w:rsidRPr="00833D4F" w:rsidRDefault="001325F8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26A94207" w14:textId="48F28009" w:rsidR="0034131E" w:rsidRPr="003D5524" w:rsidRDefault="008D77A2" w:rsidP="1D57E07B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5ACDF7B4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Según el último </w:t>
      </w:r>
      <w:r w:rsidRPr="5ACDF7B4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Estudio de Bienestar y Salud Laboral en España</w:t>
      </w:r>
      <w:r w:rsidRPr="5ACDF7B4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 elaborado por Edenred, plataforma digital </w:t>
      </w:r>
      <w:proofErr w:type="spellStart"/>
      <w:r w:rsidRPr="5ACDF7B4">
        <w:rPr>
          <w:rFonts w:ascii="Century Gothic" w:eastAsia="Century Gothic" w:hAnsi="Century Gothic" w:cs="Century Gothic"/>
          <w:color w:val="000000" w:themeColor="text1"/>
          <w:lang w:val="es-ES"/>
        </w:rPr>
        <w:t>multisolución</w:t>
      </w:r>
      <w:proofErr w:type="spellEnd"/>
      <w:r w:rsidRPr="5ACDF7B4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 especializada en beneficios sociales y </w:t>
      </w:r>
      <w:proofErr w:type="spellStart"/>
      <w:r w:rsidRPr="5ACDF7B4">
        <w:rPr>
          <w:rFonts w:ascii="Century Gothic" w:eastAsia="Century Gothic" w:hAnsi="Century Gothic" w:cs="Century Gothic"/>
          <w:color w:val="000000" w:themeColor="text1"/>
          <w:lang w:val="es-ES"/>
        </w:rPr>
        <w:t>employee</w:t>
      </w:r>
      <w:proofErr w:type="spellEnd"/>
      <w:r w:rsidRPr="5ACDF7B4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 </w:t>
      </w:r>
      <w:proofErr w:type="spellStart"/>
      <w:r w:rsidRPr="5ACDF7B4">
        <w:rPr>
          <w:rFonts w:ascii="Century Gothic" w:eastAsia="Century Gothic" w:hAnsi="Century Gothic" w:cs="Century Gothic"/>
          <w:color w:val="000000" w:themeColor="text1"/>
          <w:lang w:val="es-ES"/>
        </w:rPr>
        <w:t>engagement</w:t>
      </w:r>
      <w:proofErr w:type="spellEnd"/>
      <w:r w:rsidRPr="5ACDF7B4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, </w:t>
      </w:r>
      <w:r w:rsidR="02CED590" w:rsidRPr="5ACDF7B4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junto a </w:t>
      </w:r>
      <w:r w:rsidR="02CED590" w:rsidRPr="5ACDF7B4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Savia</w:t>
      </w:r>
      <w:r w:rsidR="02CED590" w:rsidRPr="5ACDF7B4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, </w:t>
      </w:r>
      <w:r w:rsidRPr="5ACDF7B4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el 13,4 % de los encuestados reconoce atender llamadas o mensajes de manera habitual fuera del horario laboral</w:t>
      </w:r>
      <w:r w:rsidRPr="5ACDF7B4">
        <w:rPr>
          <w:rFonts w:ascii="Century Gothic" w:eastAsia="Century Gothic" w:hAnsi="Century Gothic" w:cs="Century Gothic"/>
          <w:color w:val="000000" w:themeColor="text1"/>
          <w:lang w:val="es-ES"/>
        </w:rPr>
        <w:t>, mientras que</w:t>
      </w:r>
      <w:r w:rsidR="3CBB801E" w:rsidRPr="5ACDF7B4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 </w:t>
      </w:r>
      <w:r w:rsidRPr="5ACDF7B4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un 51,3 % lo hace ocasionalmente</w:t>
      </w:r>
      <w:r w:rsidRPr="5ACDF7B4">
        <w:rPr>
          <w:rFonts w:ascii="Century Gothic" w:eastAsia="Century Gothic" w:hAnsi="Century Gothic" w:cs="Century Gothic"/>
          <w:color w:val="000000" w:themeColor="text1"/>
          <w:lang w:val="es-ES"/>
        </w:rPr>
        <w:t>. Solo un 35,2 % afirma desconectar por completo.</w:t>
      </w:r>
    </w:p>
    <w:p w14:paraId="61D7425B" w14:textId="77777777" w:rsidR="008D77A2" w:rsidRDefault="008D77A2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04C051CB" w14:textId="77777777" w:rsidR="008D77A2" w:rsidRPr="008D77A2" w:rsidRDefault="008D77A2" w:rsidP="008D77A2">
      <w:pPr>
        <w:jc w:val="both"/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  <w:lang w:val="es-ES"/>
        </w:rPr>
      </w:pPr>
      <w:r w:rsidRPr="008D77A2"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  <w:lang w:val="es-ES"/>
        </w:rPr>
        <w:t>La desconexión, una asignatura pendiente</w:t>
      </w:r>
    </w:p>
    <w:p w14:paraId="532CDDD7" w14:textId="77777777" w:rsidR="00E660F9" w:rsidRPr="00E660F9" w:rsidRDefault="00E660F9">
      <w:pPr>
        <w:jc w:val="both"/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  <w:lang w:val="es-ES"/>
        </w:rPr>
      </w:pPr>
    </w:p>
    <w:p w14:paraId="5723698C" w14:textId="6FC47669" w:rsidR="001F79A2" w:rsidRDefault="001F79A2" w:rsidP="001F79A2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1D57E07B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La cultura del “siempre disponible” sigue muy arraigada en el entorno profesional español. Aunque existen ligeras diferencias según el género o la edad, el problema es generalizado. </w:t>
      </w:r>
      <w:r w:rsidR="00E62368" w:rsidRPr="00C30B84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En concreto, </w:t>
      </w:r>
      <w:r w:rsidR="00E62368" w:rsidRPr="00C30B84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los profesionales más jóvenes</w:t>
      </w:r>
      <w:r w:rsidR="00E62368" w:rsidRPr="00C30B84">
        <w:rPr>
          <w:rFonts w:ascii="Century Gothic" w:eastAsia="Century Gothic" w:hAnsi="Century Gothic" w:cs="Century Gothic"/>
          <w:color w:val="000000" w:themeColor="text1"/>
          <w:lang w:val="es-ES"/>
        </w:rPr>
        <w:t>, Generación Z (18-24 años) y Millennials de 25 a 34 años,</w:t>
      </w:r>
      <w:r w:rsidR="00E62368" w:rsidRPr="00C30B84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 xml:space="preserve"> son quienes menos logran desconectar: un 66,7 % y un 71,4 %, respectivamente, atienden comunicaciones fuera del horario laboral</w:t>
      </w:r>
      <w:r w:rsidR="00E62368" w:rsidRPr="00C30B84">
        <w:rPr>
          <w:rFonts w:ascii="Century Gothic" w:eastAsia="Century Gothic" w:hAnsi="Century Gothic" w:cs="Century Gothic"/>
          <w:color w:val="000000" w:themeColor="text1"/>
          <w:lang w:val="es-ES"/>
        </w:rPr>
        <w:t>. En comparación, los porcentajes descienden hasta el 60,9 % en el caso de la Generación X (45-54 años) y el 61,9 % entre los Baby Boomers más jóvenes (55-60 años</w:t>
      </w:r>
      <w:r w:rsidR="36292F1D" w:rsidRPr="00C30B84">
        <w:rPr>
          <w:rFonts w:ascii="Century Gothic" w:eastAsia="Century Gothic" w:hAnsi="Century Gothic" w:cs="Century Gothic"/>
          <w:color w:val="000000" w:themeColor="text1"/>
          <w:lang w:val="es-ES"/>
        </w:rPr>
        <w:t>)</w:t>
      </w:r>
      <w:r w:rsidR="00E62368" w:rsidRPr="00C30B84">
        <w:rPr>
          <w:rFonts w:ascii="Century Gothic" w:eastAsia="Century Gothic" w:hAnsi="Century Gothic" w:cs="Century Gothic"/>
          <w:color w:val="000000" w:themeColor="text1"/>
          <w:lang w:val="es-ES"/>
        </w:rPr>
        <w:t>.</w:t>
      </w:r>
    </w:p>
    <w:p w14:paraId="0FC744C7" w14:textId="03981008" w:rsidR="5ACDF7B4" w:rsidRDefault="5ACDF7B4" w:rsidP="5ACDF7B4">
      <w:pPr>
        <w:jc w:val="both"/>
        <w:rPr>
          <w:rFonts w:ascii="Century Gothic" w:eastAsia="Century Gothic" w:hAnsi="Century Gothic" w:cs="Century Gothic"/>
          <w:color w:val="000000" w:themeColor="text1"/>
          <w:lang w:val="es-ES"/>
        </w:rPr>
      </w:pPr>
    </w:p>
    <w:p w14:paraId="082121D0" w14:textId="77777777" w:rsidR="00CB3941" w:rsidRDefault="00CB3941" w:rsidP="00CB3941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3C53924A">
        <w:rPr>
          <w:rFonts w:ascii="Century Gothic" w:eastAsia="Century Gothic" w:hAnsi="Century Gothic" w:cs="Century Gothic"/>
          <w:color w:val="000000" w:themeColor="text1"/>
          <w:lang w:val="es-ES"/>
        </w:rPr>
        <w:t>Las diferencias territoriales son especialmente notables. Mientras que comunidades como el</w:t>
      </w:r>
      <w:r w:rsidRPr="3C53924A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 xml:space="preserve"> País Vasco (46,2 %) y Castilla y León (41,4 %) lideran el ranking de desconexión</w:t>
      </w:r>
      <w:r w:rsidRPr="3C53924A">
        <w:rPr>
          <w:rFonts w:ascii="Century Gothic" w:eastAsia="Century Gothic" w:hAnsi="Century Gothic" w:cs="Century Gothic"/>
          <w:color w:val="000000" w:themeColor="text1"/>
          <w:lang w:val="es-ES"/>
        </w:rPr>
        <w:t>, es decir, son las regiones donde más profesionales aseguran no tener que responder llamadas ni mensajes fuera de su jornada, otras se sitúan en el extremo opuesto.</w:t>
      </w:r>
    </w:p>
    <w:p w14:paraId="5E8098E3" w14:textId="77777777" w:rsidR="00CB3941" w:rsidRPr="00CB3941" w:rsidRDefault="00CB3941" w:rsidP="00CB3941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7A1ACC4D" w14:textId="18A8A166" w:rsidR="00CB3941" w:rsidRPr="00CB3941" w:rsidRDefault="00CB3941" w:rsidP="00CB3941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3C53924A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La Comunidad de Madrid destaca como la autonomía con mayor nivel de conexión fuera del horario laboral:</w:t>
      </w:r>
      <w:r w:rsidRPr="3C53924A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 el 68,75 % de los profesionales sigue atendiendo obligaciones laborales una vez finalizada su jornada. Le siguen </w:t>
      </w:r>
      <w:r w:rsidRPr="3C53924A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 xml:space="preserve">Galicia </w:t>
      </w:r>
      <w:r w:rsidRPr="3C53924A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(67,93 %), </w:t>
      </w:r>
      <w:r w:rsidRPr="3C53924A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>Comunidad Valenciana</w:t>
      </w:r>
      <w:r w:rsidRPr="3C53924A">
        <w:rPr>
          <w:rFonts w:ascii="Century Gothic" w:eastAsia="Century Gothic" w:hAnsi="Century Gothic" w:cs="Century Gothic"/>
          <w:color w:val="000000" w:themeColor="text1"/>
          <w:lang w:val="es-ES"/>
        </w:rPr>
        <w:t xml:space="preserve"> (67,38 %) y </w:t>
      </w:r>
      <w:r w:rsidRPr="3C53924A">
        <w:rPr>
          <w:rFonts w:ascii="Century Gothic" w:eastAsia="Century Gothic" w:hAnsi="Century Gothic" w:cs="Century Gothic"/>
          <w:b/>
          <w:bCs/>
          <w:color w:val="000000" w:themeColor="text1"/>
          <w:lang w:val="es-ES"/>
        </w:rPr>
        <w:t xml:space="preserve">Cataluña </w:t>
      </w:r>
      <w:r w:rsidRPr="3C53924A">
        <w:rPr>
          <w:rFonts w:ascii="Century Gothic" w:eastAsia="Century Gothic" w:hAnsi="Century Gothic" w:cs="Century Gothic"/>
          <w:color w:val="000000" w:themeColor="text1"/>
          <w:lang w:val="es-ES"/>
        </w:rPr>
        <w:t>(</w:t>
      </w:r>
      <w:r w:rsidR="00CA154F" w:rsidRPr="3C53924A">
        <w:rPr>
          <w:rFonts w:ascii="Century Gothic" w:eastAsia="Century Gothic" w:hAnsi="Century Gothic" w:cs="Century Gothic"/>
          <w:color w:val="000000" w:themeColor="text1"/>
          <w:lang w:val="es-ES"/>
        </w:rPr>
        <w:t>67,09 %)</w:t>
      </w:r>
      <w:r w:rsidRPr="3C53924A">
        <w:rPr>
          <w:rFonts w:ascii="Century Gothic" w:eastAsia="Century Gothic" w:hAnsi="Century Gothic" w:cs="Century Gothic"/>
          <w:color w:val="000000" w:themeColor="text1"/>
          <w:lang w:val="es-ES"/>
        </w:rPr>
        <w:t>, donde las cifras también muestran una elevada carga digital fuera del tiempo de trabajo</w:t>
      </w:r>
    </w:p>
    <w:p w14:paraId="2C5092CE" w14:textId="77777777" w:rsidR="001D65D3" w:rsidRPr="001F79A2" w:rsidRDefault="001D65D3" w:rsidP="001F79A2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7AF631F4" w14:textId="4E9F610F" w:rsidR="0034131E" w:rsidRPr="00C30B84" w:rsidRDefault="002665DB">
      <w:pPr>
        <w:jc w:val="both"/>
        <w:rPr>
          <w:rFonts w:ascii="Century Gothic" w:eastAsia="Century Gothic" w:hAnsi="Century Gothic" w:cs="Century Gothic"/>
          <w:b/>
          <w:bCs/>
          <w:color w:val="000000"/>
          <w:lang w:val="es-ES"/>
        </w:rPr>
      </w:pPr>
      <w:r w:rsidRPr="00C30B84">
        <w:rPr>
          <w:rFonts w:ascii="Century Gothic" w:eastAsia="Century Gothic" w:hAnsi="Century Gothic" w:cs="Century Gothic"/>
          <w:i/>
          <w:iCs/>
          <w:color w:val="000000"/>
          <w:lang w:val="es-ES"/>
        </w:rPr>
        <w:lastRenderedPageBreak/>
        <w:t>“La desconexión digital es clave para preservar el bienestar emocional y la productividad a largo plazo. No se trata solo de un derecho legal, sino de un hábito saludable que las organizaciones deben fomentar activamente”,</w:t>
      </w:r>
      <w:r w:rsidRPr="00C30B84">
        <w:rPr>
          <w:rFonts w:ascii="Century Gothic" w:eastAsia="Century Gothic" w:hAnsi="Century Gothic" w:cs="Century Gothic"/>
          <w:color w:val="000000"/>
          <w:lang w:val="es-ES"/>
        </w:rPr>
        <w:t xml:space="preserve"> </w:t>
      </w:r>
      <w:r w:rsidRPr="00C30B84">
        <w:rPr>
          <w:rFonts w:ascii="Century Gothic" w:eastAsia="Century Gothic" w:hAnsi="Century Gothic" w:cs="Century Gothic"/>
          <w:b/>
          <w:bCs/>
          <w:color w:val="000000"/>
          <w:lang w:val="es-ES"/>
        </w:rPr>
        <w:t>señala Olga Zografou, directora de People &amp; CSR de Edenred España.</w:t>
      </w:r>
    </w:p>
    <w:p w14:paraId="3BBD8264" w14:textId="77777777" w:rsidR="006D0E3A" w:rsidRPr="00C30B84" w:rsidRDefault="006D0E3A">
      <w:pPr>
        <w:jc w:val="both"/>
        <w:rPr>
          <w:rFonts w:ascii="Century Gothic" w:eastAsia="Century Gothic" w:hAnsi="Century Gothic" w:cs="Century Gothic"/>
          <w:b/>
          <w:bCs/>
          <w:color w:val="000000"/>
          <w:lang w:val="es-ES"/>
        </w:rPr>
      </w:pPr>
    </w:p>
    <w:p w14:paraId="31889C32" w14:textId="7344C243" w:rsidR="006D0E3A" w:rsidRPr="006D0E3A" w:rsidRDefault="006D0E3A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C30B84">
        <w:rPr>
          <w:rFonts w:ascii="Century Gothic" w:eastAsia="Century Gothic" w:hAnsi="Century Gothic" w:cs="Century Gothic"/>
          <w:color w:val="000000" w:themeColor="text1"/>
          <w:lang w:val="es-ES"/>
        </w:rPr>
        <w:t>En un contexto como el actual, marcado por las jornadas intensivas y el inicio del periodo vacacional, reforzar el respeto a los tiempos de descanso es más necesario que nunca. Garantizar una desconexión real no solo contribuye a mejorar la salud mental de los profesionales, sino que también permite construir culturas laborales más equilibradas y sostenibles.</w:t>
      </w:r>
    </w:p>
    <w:p w14:paraId="7368D78D" w14:textId="6AEE3F2A" w:rsidR="4D00CF74" w:rsidRPr="00C30B84" w:rsidRDefault="4D00CF74" w:rsidP="4D00CF74">
      <w:pPr>
        <w:jc w:val="both"/>
        <w:rPr>
          <w:rFonts w:ascii="Century Gothic" w:eastAsia="Century Gothic" w:hAnsi="Century Gothic" w:cs="Century Gothic"/>
          <w:color w:val="000000" w:themeColor="text1"/>
          <w:lang w:val="es-ES"/>
        </w:rPr>
      </w:pPr>
    </w:p>
    <w:p w14:paraId="15CBF01F" w14:textId="56D74914" w:rsidR="4D00CF74" w:rsidRPr="00C30B84" w:rsidRDefault="4D00CF74" w:rsidP="4D00CF74">
      <w:pPr>
        <w:jc w:val="both"/>
        <w:rPr>
          <w:rFonts w:ascii="Century Gothic" w:eastAsia="Century Gothic" w:hAnsi="Century Gothic" w:cs="Century Gothic"/>
          <w:color w:val="000000" w:themeColor="text1"/>
          <w:lang w:val="es-ES"/>
        </w:rPr>
      </w:pPr>
    </w:p>
    <w:p w14:paraId="51E74DA8" w14:textId="77777777" w:rsidR="0034131E" w:rsidRPr="00833D4F" w:rsidRDefault="00E660F9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lang w:val="es-ES"/>
        </w:rPr>
        <w:t>▬▬</w:t>
      </w:r>
    </w:p>
    <w:p w14:paraId="319B1527" w14:textId="77777777" w:rsidR="0034131E" w:rsidRPr="00833D4F" w:rsidRDefault="0034131E">
      <w:pPr>
        <w:jc w:val="both"/>
        <w:rPr>
          <w:rFonts w:ascii="Century Gothic" w:eastAsia="Century Gothic" w:hAnsi="Century Gothic" w:cs="Century Gothic"/>
          <w:lang w:val="es-ES"/>
        </w:rPr>
      </w:pPr>
    </w:p>
    <w:p w14:paraId="25873AF5" w14:textId="77777777" w:rsidR="0034131E" w:rsidRPr="00833D4F" w:rsidRDefault="00E660F9">
      <w:pPr>
        <w:jc w:val="both"/>
        <w:rPr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18"/>
          <w:szCs w:val="18"/>
          <w:lang w:val="es-ES"/>
        </w:rPr>
        <w:t>Sobre Edenred</w:t>
      </w:r>
    </w:p>
    <w:p w14:paraId="4FED8EE9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lang w:val="es-ES"/>
        </w:rPr>
      </w:pPr>
    </w:p>
    <w:p w14:paraId="67906C8A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18"/>
          <w:szCs w:val="18"/>
          <w:lang w:val="es-ES"/>
        </w:rPr>
        <w:t>Edenred</w:t>
      </w: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es una plataforma digital líder en servicios y pagos, que actúa como el compañero diario de las personas en el trabajo, facilitando la conexión entre más de 60 millones de usuarios y 2 millones de comercios asociados en 45 países, a través de 1 millón de clientes corporativos. </w:t>
      </w:r>
    </w:p>
    <w:p w14:paraId="2AA0D98E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77C6D3E1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Su oferta se basa en soluciones de pago de propósito específico, diseñadas para mejorar la experiencia laboral y la eficiencia empresarial. En el ámbito de la alimentación, Edenred ofrece beneficios como tarjetas de comida y vales de alimentos, que facilitan el acceso a opciones más saludables. En el área de compromiso y bienestar, proporciona soluciones como tarjetas regalo y plataformas de incentivos, que refuerzan la motivación y fidelización del talento. En movilidad, facilita el acceso a soluciones multimodales, incluyendo carga de vehículos eléctricos, mantenimiento, peajes y estacionamiento, contribuyendo a un entorno de transporte más sostenible. Finalmente, en pagos corporativos, ofrece herramientas como tarjetas virtuales, que optimizan la gestión financiera y simplifican las transacciones empresariales.</w:t>
      </w:r>
    </w:p>
    <w:p w14:paraId="21BB60E4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2C80D1F0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Fiel a su propósito, "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Enrich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connections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. For good.", Edenred trabaja para mejorar el bienestar y el poder adquisitivo de los usuarios, incrementar la atractividad y eficiencia de las empresas, y dinamizar el mercado laboral y la economía local. Su impacto también se traduce en el fomento de una alimentación más saludable, el acceso a productos más sostenibles y el impulso de una movilidad más ecológica.</w:t>
      </w:r>
    </w:p>
    <w:p w14:paraId="6502A61F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31ABED79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Con un equipo de 12.000 empleados, Edenred se compromete cada día a hacer del mundo laboral un ecosistema más conectado, seguro, eficiente y responsable. En 2024, gracias a su infraestructura tecnológica global, el Grupo gestionó un volumen de negocio cercano a 45.000 millones de euros, operado principalmente a través de aplicaciones móviles, plataformas online y tarjetas.</w:t>
      </w:r>
    </w:p>
    <w:p w14:paraId="2BC1F840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4B5D790E" w14:textId="77777777" w:rsidR="0034131E" w:rsidRPr="00833D4F" w:rsidRDefault="00E660F9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Edenred cotiza en la Bolsa de París (Euronext) y forma parte de los principales índices bursátiles, incluyendo CAC 40, CAC 40 ESG, CAC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Large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60, Euronext 100, Euronext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Tech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Leaders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, FTSE4Good, DJSI </w:t>
      </w:r>
      <w:proofErr w:type="spellStart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>Europe</w:t>
      </w:r>
      <w:proofErr w:type="spellEnd"/>
      <w:r w:rsidRPr="00833D4F"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  <w:t xml:space="preserve"> Index, DJSI World Index y MSCI Europe.</w:t>
      </w:r>
    </w:p>
    <w:p w14:paraId="5BF9E4B4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60992604" w14:textId="08F8B2E4" w:rsidR="0034131E" w:rsidRPr="00833D4F" w:rsidRDefault="00E660F9" w:rsidP="4D00CF74">
      <w:pPr>
        <w:spacing w:line="240" w:lineRule="auto"/>
        <w:jc w:val="both"/>
        <w:rPr>
          <w:rFonts w:ascii="Century Gothic" w:eastAsia="Century Gothic" w:hAnsi="Century Gothic" w:cs="Century Gothic"/>
          <w:i/>
          <w:iCs/>
          <w:color w:val="000000"/>
          <w:sz w:val="16"/>
          <w:szCs w:val="16"/>
          <w:lang w:val="es-ES"/>
        </w:rPr>
      </w:pPr>
      <w:r w:rsidRPr="4D00CF74">
        <w:rPr>
          <w:rFonts w:ascii="Century Gothic" w:eastAsia="Century Gothic" w:hAnsi="Century Gothic" w:cs="Century Gothic"/>
          <w:i/>
          <w:iCs/>
          <w:color w:val="000000" w:themeColor="text1"/>
          <w:sz w:val="16"/>
          <w:szCs w:val="16"/>
          <w:lang w:val="es-ES"/>
        </w:rPr>
        <w:t>Los logotipos y otras marcas mencionadas y destacadas en este comunicado de prensa son marcas registradas de Edenred S.E., sus filiales o terceros. No pueden utilizarse con fines comerciales sin el consentimiento previo por escrito de sus propietarios.</w:t>
      </w:r>
    </w:p>
    <w:p w14:paraId="6E54591E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b/>
          <w:color w:val="000000"/>
          <w:sz w:val="24"/>
          <w:szCs w:val="24"/>
          <w:lang w:val="es-ES"/>
        </w:rPr>
      </w:pPr>
    </w:p>
    <w:p w14:paraId="34EBC2CB" w14:textId="77777777" w:rsidR="0034131E" w:rsidRDefault="00E660F9">
      <w:pPr>
        <w:spacing w:line="254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CONTACTO</w:t>
      </w:r>
    </w:p>
    <w:tbl>
      <w:tblPr>
        <w:tblStyle w:val="a"/>
        <w:tblW w:w="9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03"/>
        <w:gridCol w:w="4552"/>
      </w:tblGrid>
      <w:tr w:rsidR="0034131E" w14:paraId="10E87855" w14:textId="77777777" w:rsidTr="4D00CF74">
        <w:trPr>
          <w:trHeight w:val="1725"/>
        </w:trPr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B8FE" w14:textId="77777777" w:rsidR="0034131E" w:rsidRDefault="0034131E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3E71BA8C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>Edenred</w:t>
            </w:r>
          </w:p>
          <w:p w14:paraId="2C0E5145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Alejandro Delgado Sánchez</w:t>
            </w:r>
          </w:p>
          <w:p w14:paraId="3C5097B0" w14:textId="77777777" w:rsidR="0034131E" w:rsidRDefault="00E660F9">
            <w:pPr>
              <w:jc w:val="both"/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Communications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Specialist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</w:t>
            </w:r>
          </w:p>
          <w:p w14:paraId="7AD809AF" w14:textId="77777777" w:rsidR="0034131E" w:rsidRDefault="0034131E">
            <w:pPr>
              <w:jc w:val="both"/>
            </w:pPr>
            <w:hyperlink r:id="rId9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alejandro.delgadosanchez@edenred.com</w:t>
              </w:r>
            </w:hyperlink>
          </w:p>
          <w:p w14:paraId="4CF87B1B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4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9073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188D7D39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 xml:space="preserve">Newlink Spain </w:t>
            </w:r>
          </w:p>
          <w:p w14:paraId="0709A77C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Marina Gascón | Patricia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Vizcaíno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| Sara García</w:t>
            </w:r>
          </w:p>
          <w:p w14:paraId="186B073B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651 96 34 59</w:t>
            </w:r>
          </w:p>
          <w:p w14:paraId="5D012B56" w14:textId="77777777" w:rsidR="0034131E" w:rsidRDefault="0034131E">
            <w:pPr>
              <w:spacing w:line="251" w:lineRule="auto"/>
            </w:pPr>
            <w:hyperlink r:id="rId10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equipo.edenred@newlink-group.com</w:t>
              </w:r>
            </w:hyperlink>
          </w:p>
        </w:tc>
      </w:tr>
    </w:tbl>
    <w:p w14:paraId="62FFDE23" w14:textId="77777777" w:rsidR="0034131E" w:rsidRDefault="0034131E">
      <w:pPr>
        <w:tabs>
          <w:tab w:val="left" w:pos="2760"/>
        </w:tabs>
      </w:pPr>
    </w:p>
    <w:sectPr w:rsidR="0034131E">
      <w:foot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10AD7" w14:textId="77777777" w:rsidR="00552BD6" w:rsidRDefault="00552BD6">
      <w:pPr>
        <w:spacing w:line="240" w:lineRule="auto"/>
      </w:pPr>
      <w:r>
        <w:separator/>
      </w:r>
    </w:p>
  </w:endnote>
  <w:endnote w:type="continuationSeparator" w:id="0">
    <w:p w14:paraId="020D6D59" w14:textId="77777777" w:rsidR="00552BD6" w:rsidRDefault="00552B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1FFFBC5-8A97-4FCC-A0DF-7C707915BE0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2" w:fontKey="{C6DB2345-2553-48F4-BC9F-FD52ECBB589C}"/>
    <w:embedBold r:id="rId3" w:fontKey="{67BD87EA-C1F2-45DC-968D-1929B4AF6FBB}"/>
    <w:embedItalic r:id="rId4" w:fontKey="{C94F454B-CCA4-4853-9D3E-824096B3595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C9A822B6-9E20-4F65-8F12-16502E8CFCFD}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6" w:fontKey="{3477935D-9E9B-41BB-B770-948949A2C16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4639B66F-3BE1-46F9-8B81-C8D789ECE1DD}"/>
    <w:embedItalic r:id="rId8" w:fontKey="{EBF3F9E2-DAA1-4115-A6FF-1D5A037A54A3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CBFC3707-4B5C-4F32-87ED-9ACAD0298EA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0" w:fontKey="{D4DBDE6C-0F74-426F-9A35-4E7CA01E5AD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5193" w14:textId="77777777" w:rsidR="0034131E" w:rsidRDefault="00E660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B5CB540" wp14:editId="6EA21FCE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525697" cy="337303"/>
          <wp:effectExtent l="0" t="0" r="0" b="0"/>
          <wp:wrapNone/>
          <wp:docPr id="827937672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697" cy="337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83782" w14:textId="77777777" w:rsidR="00552BD6" w:rsidRDefault="00552BD6">
      <w:pPr>
        <w:spacing w:line="240" w:lineRule="auto"/>
      </w:pPr>
      <w:r>
        <w:separator/>
      </w:r>
    </w:p>
  </w:footnote>
  <w:footnote w:type="continuationSeparator" w:id="0">
    <w:p w14:paraId="38E89137" w14:textId="77777777" w:rsidR="00552BD6" w:rsidRDefault="00552BD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54FB0"/>
    <w:multiLevelType w:val="multilevel"/>
    <w:tmpl w:val="99C81776"/>
    <w:lvl w:ilvl="0">
      <w:start w:val="1"/>
      <w:numFmt w:val="decimal"/>
      <w:pStyle w:val="BoxBulle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B866DFC"/>
    <w:multiLevelType w:val="multilevel"/>
    <w:tmpl w:val="7BEEF018"/>
    <w:lvl w:ilvl="0">
      <w:start w:val="1"/>
      <w:numFmt w:val="bullet"/>
      <w:pStyle w:val="BulletLead-in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40246018">
    <w:abstractNumId w:val="1"/>
  </w:num>
  <w:num w:numId="2" w16cid:durableId="620915189">
    <w:abstractNumId w:val="0"/>
  </w:num>
  <w:num w:numId="3" w16cid:durableId="950282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1E"/>
    <w:rsid w:val="000F4162"/>
    <w:rsid w:val="00124824"/>
    <w:rsid w:val="001325F8"/>
    <w:rsid w:val="0017574A"/>
    <w:rsid w:val="0018413A"/>
    <w:rsid w:val="001D65D3"/>
    <w:rsid w:val="001E738B"/>
    <w:rsid w:val="001F79A2"/>
    <w:rsid w:val="00240C55"/>
    <w:rsid w:val="002665DB"/>
    <w:rsid w:val="00323902"/>
    <w:rsid w:val="0034131E"/>
    <w:rsid w:val="003470F9"/>
    <w:rsid w:val="003D2293"/>
    <w:rsid w:val="003D5524"/>
    <w:rsid w:val="0045496E"/>
    <w:rsid w:val="004D721E"/>
    <w:rsid w:val="00550198"/>
    <w:rsid w:val="00552BD6"/>
    <w:rsid w:val="0057489F"/>
    <w:rsid w:val="00584BD2"/>
    <w:rsid w:val="005A0C33"/>
    <w:rsid w:val="0067000D"/>
    <w:rsid w:val="006D0E3A"/>
    <w:rsid w:val="007142AE"/>
    <w:rsid w:val="007526FE"/>
    <w:rsid w:val="00795601"/>
    <w:rsid w:val="00833D4F"/>
    <w:rsid w:val="00857B31"/>
    <w:rsid w:val="008921FE"/>
    <w:rsid w:val="008D77A2"/>
    <w:rsid w:val="00912022"/>
    <w:rsid w:val="00BE1228"/>
    <w:rsid w:val="00C30B84"/>
    <w:rsid w:val="00C355E6"/>
    <w:rsid w:val="00CA154F"/>
    <w:rsid w:val="00CB3941"/>
    <w:rsid w:val="00D803AC"/>
    <w:rsid w:val="00D87718"/>
    <w:rsid w:val="00DD5276"/>
    <w:rsid w:val="00E22330"/>
    <w:rsid w:val="00E62368"/>
    <w:rsid w:val="00E660F9"/>
    <w:rsid w:val="00E73445"/>
    <w:rsid w:val="00E847E1"/>
    <w:rsid w:val="00EA5BD2"/>
    <w:rsid w:val="00ED7249"/>
    <w:rsid w:val="00EE2FCB"/>
    <w:rsid w:val="00F17223"/>
    <w:rsid w:val="00F348CD"/>
    <w:rsid w:val="02CED590"/>
    <w:rsid w:val="0744660E"/>
    <w:rsid w:val="102BEBD6"/>
    <w:rsid w:val="126F5FA8"/>
    <w:rsid w:val="1D57E07B"/>
    <w:rsid w:val="28F34B86"/>
    <w:rsid w:val="2C3CF23E"/>
    <w:rsid w:val="35530420"/>
    <w:rsid w:val="36292F1D"/>
    <w:rsid w:val="3C53924A"/>
    <w:rsid w:val="3CBB801E"/>
    <w:rsid w:val="44A44946"/>
    <w:rsid w:val="4BE621DD"/>
    <w:rsid w:val="4D00CF74"/>
    <w:rsid w:val="5ACDF7B4"/>
    <w:rsid w:val="5DA99854"/>
    <w:rsid w:val="69E868E0"/>
    <w:rsid w:val="7596A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34EEC3"/>
  <w15:docId w15:val="{3610D63D-37CE-443E-BD70-F4018F187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1204C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60" w:lineRule="atLeast"/>
    </w:pPr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line="276" w:lineRule="auto"/>
      <w:ind w:left="708"/>
      <w:outlineLvl w:val="0"/>
    </w:pPr>
    <w:rPr>
      <w:rFonts w:eastAsia="MS Gothic"/>
      <w:b/>
      <w:bCs/>
      <w:color w:val="17153B"/>
      <w:sz w:val="28"/>
      <w:szCs w:val="28"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1"/>
    </w:pPr>
    <w:rPr>
      <w:rFonts w:eastAsia="MS Gothic"/>
      <w:b/>
      <w:bCs/>
      <w:color w:val="201C50"/>
      <w:sz w:val="26"/>
      <w:szCs w:val="26"/>
      <w:lang w:val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2"/>
    </w:pPr>
    <w:rPr>
      <w:rFonts w:eastAsia="MS Gothic"/>
      <w:b/>
      <w:bCs/>
      <w:color w:val="201C50"/>
      <w:szCs w:val="22"/>
      <w:lang w:val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spacing w:line="240" w:lineRule="auto"/>
    </w:pPr>
    <w:rPr>
      <w:rFonts w:ascii="Century Gothic" w:hAnsi="Century Gothic"/>
      <w:color w:val="auto"/>
      <w:sz w:val="28"/>
    </w:rPr>
  </w:style>
  <w:style w:type="paragraph" w:styleId="Piedepgina">
    <w:name w:val="footer"/>
    <w:basedOn w:val="Normal"/>
    <w:pPr>
      <w:tabs>
        <w:tab w:val="center" w:pos="4536"/>
        <w:tab w:val="right" w:pos="9072"/>
      </w:tabs>
      <w:spacing w:line="240" w:lineRule="auto"/>
    </w:pPr>
  </w:style>
  <w:style w:type="paragraph" w:customStyle="1" w:styleId="EdenredDate">
    <w:name w:val="Edenred Date"/>
    <w:basedOn w:val="Encabezado"/>
    <w:pPr>
      <w:jc w:val="right"/>
    </w:pPr>
    <w:rPr>
      <w:sz w:val="20"/>
    </w:rPr>
  </w:style>
  <w:style w:type="paragraph" w:customStyle="1" w:styleId="EdenredTitle">
    <w:name w:val="Edenred Title"/>
    <w:basedOn w:val="Text"/>
    <w:rPr>
      <w:color w:val="162056"/>
      <w:sz w:val="40"/>
      <w:szCs w:val="40"/>
    </w:rPr>
  </w:style>
  <w:style w:type="paragraph" w:customStyle="1" w:styleId="Edenredsubtitle">
    <w:name w:val="Edenred subtitle"/>
    <w:basedOn w:val="Normal"/>
    <w:pPr>
      <w:spacing w:line="254" w:lineRule="auto"/>
      <w:jc w:val="both"/>
    </w:pPr>
    <w:rPr>
      <w:rFonts w:ascii="Century Gothic" w:hAnsi="Century Gothic"/>
      <w:color w:val="003591"/>
      <w:sz w:val="30"/>
      <w:szCs w:val="30"/>
      <w:lang w:val="en-US"/>
    </w:rPr>
  </w:style>
  <w:style w:type="paragraph" w:customStyle="1" w:styleId="Text">
    <w:name w:val="Text"/>
    <w:basedOn w:val="Normal"/>
    <w:pPr>
      <w:spacing w:line="254" w:lineRule="auto"/>
      <w:jc w:val="both"/>
    </w:pPr>
    <w:rPr>
      <w:rFonts w:ascii="Century Gothic" w:hAnsi="Century Gothic"/>
      <w:color w:val="auto"/>
      <w:lang w:val="en-US"/>
    </w:rPr>
  </w:style>
  <w:style w:type="character" w:customStyle="1" w:styleId="PiedepginaCar">
    <w:name w:val="Pie de página Car"/>
    <w:basedOn w:val="Fuentedeprrafopredeter"/>
    <w:rPr>
      <w:rFonts w:ascii="Arial" w:hAnsi="Arial"/>
      <w:color w:val="11204C"/>
      <w:lang w:eastAsia="en-US"/>
    </w:rPr>
  </w:style>
  <w:style w:type="paragraph" w:styleId="Textodeglob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color w:val="11204C"/>
      <w:sz w:val="16"/>
      <w:szCs w:val="16"/>
      <w:lang w:eastAsia="en-US"/>
    </w:rPr>
  </w:style>
  <w:style w:type="paragraph" w:customStyle="1" w:styleId="Page">
    <w:name w:val="Page"/>
    <w:basedOn w:val="Normal"/>
    <w:pPr>
      <w:jc w:val="right"/>
    </w:pPr>
    <w:rPr>
      <w:sz w:val="16"/>
    </w:rPr>
  </w:style>
  <w:style w:type="character" w:customStyle="1" w:styleId="TextCar">
    <w:name w:val="Text Car"/>
    <w:rPr>
      <w:rFonts w:ascii="Century Gothic" w:hAnsi="Century Gothic" w:cs="Arial"/>
      <w:lang w:val="en-US" w:eastAsia="en-US"/>
    </w:rPr>
  </w:style>
  <w:style w:type="paragraph" w:styleId="Textonotapie">
    <w:name w:val="footnote text"/>
    <w:basedOn w:val="Normal"/>
    <w:pPr>
      <w:spacing w:line="240" w:lineRule="auto"/>
    </w:pPr>
    <w:rPr>
      <w:rFonts w:ascii="Century Gothic" w:hAnsi="Century Gothic"/>
      <w:color w:val="auto"/>
      <w:sz w:val="14"/>
    </w:rPr>
  </w:style>
  <w:style w:type="character" w:customStyle="1" w:styleId="TextonotapieCar">
    <w:name w:val="Texto nota pie Car"/>
    <w:rPr>
      <w:rFonts w:ascii="Century Gothic" w:hAnsi="Century Gothic"/>
      <w:sz w:val="14"/>
      <w:lang w:eastAsia="en-US"/>
    </w:rPr>
  </w:style>
  <w:style w:type="character" w:styleId="Refdenotaalpie">
    <w:name w:val="footnote reference"/>
    <w:rPr>
      <w:position w:val="0"/>
      <w:vertAlign w:val="superscript"/>
    </w:rPr>
  </w:style>
  <w:style w:type="character" w:customStyle="1" w:styleId="Ttulo1Car">
    <w:name w:val="Título 1 Car"/>
    <w:rPr>
      <w:rFonts w:ascii="Arial" w:eastAsia="MS Gothic" w:hAnsi="Arial"/>
      <w:b/>
      <w:bCs/>
      <w:color w:val="17153B"/>
      <w:sz w:val="28"/>
      <w:szCs w:val="28"/>
      <w:lang w:val="en-US" w:eastAsia="en-US"/>
    </w:rPr>
  </w:style>
  <w:style w:type="character" w:customStyle="1" w:styleId="Ttulo2Car">
    <w:name w:val="Título 2 Car"/>
    <w:rPr>
      <w:rFonts w:ascii="Arial" w:eastAsia="MS Gothic" w:hAnsi="Arial"/>
      <w:b/>
      <w:bCs/>
      <w:color w:val="201C50"/>
      <w:sz w:val="26"/>
      <w:szCs w:val="26"/>
      <w:lang w:val="en-US" w:eastAsia="en-US"/>
    </w:rPr>
  </w:style>
  <w:style w:type="character" w:customStyle="1" w:styleId="Ttulo3Car">
    <w:name w:val="Título 3 Car"/>
    <w:rPr>
      <w:rFonts w:ascii="Arial" w:eastAsia="MS Gothic" w:hAnsi="Arial"/>
      <w:b/>
      <w:bCs/>
      <w:color w:val="201C50"/>
      <w:szCs w:val="22"/>
      <w:lang w:val="en-US" w:eastAsia="en-US"/>
    </w:rPr>
  </w:style>
  <w:style w:type="paragraph" w:customStyle="1" w:styleId="Title1">
    <w:name w:val="Title 1"/>
    <w:basedOn w:val="Normal"/>
    <w:pPr>
      <w:spacing w:line="254" w:lineRule="auto"/>
      <w:jc w:val="both"/>
    </w:pPr>
    <w:rPr>
      <w:rFonts w:ascii="Century Gothic" w:hAnsi="Century Gothic"/>
      <w:b/>
      <w:color w:val="003591"/>
      <w:sz w:val="28"/>
      <w:szCs w:val="28"/>
      <w:lang w:val="en-US" w:eastAsia="fr-FR"/>
    </w:rPr>
  </w:style>
  <w:style w:type="character" w:customStyle="1" w:styleId="Title1Car">
    <w:name w:val="Title 1 Car"/>
    <w:rPr>
      <w:rFonts w:ascii="Century Gothic" w:hAnsi="Century Gothic" w:cs="Arial"/>
      <w:b/>
      <w:color w:val="003591"/>
      <w:sz w:val="28"/>
      <w:szCs w:val="28"/>
      <w:lang w:val="en-US"/>
    </w:rPr>
  </w:style>
  <w:style w:type="paragraph" w:customStyle="1" w:styleId="Title2">
    <w:name w:val="Title 2"/>
    <w:basedOn w:val="Normal"/>
    <w:next w:val="Normal"/>
    <w:pPr>
      <w:spacing w:line="276" w:lineRule="auto"/>
      <w:jc w:val="both"/>
    </w:pPr>
    <w:rPr>
      <w:rFonts w:ascii="Century Gothic" w:hAnsi="Century Gothic"/>
      <w:b/>
      <w:color w:val="003591"/>
      <w:sz w:val="24"/>
      <w:szCs w:val="24"/>
      <w:lang w:val="en-US"/>
    </w:rPr>
  </w:style>
  <w:style w:type="character" w:customStyle="1" w:styleId="Title2Car">
    <w:name w:val="Title 2 Car"/>
    <w:rPr>
      <w:rFonts w:ascii="Century Gothic" w:hAnsi="Century Gothic" w:cs="Arial"/>
      <w:b/>
      <w:color w:val="003591"/>
      <w:sz w:val="24"/>
      <w:szCs w:val="24"/>
      <w:lang w:val="en-US" w:eastAsia="en-US"/>
    </w:rPr>
  </w:style>
  <w:style w:type="paragraph" w:customStyle="1" w:styleId="BulletLead-in1">
    <w:name w:val="Bullet Lead-in 1"/>
    <w:basedOn w:val="Normal"/>
    <w:pPr>
      <w:spacing w:line="254" w:lineRule="auto"/>
      <w:contextualSpacing/>
      <w:jc w:val="both"/>
    </w:pPr>
    <w:rPr>
      <w:rFonts w:ascii="Century Gothic" w:hAnsi="Century Gothic"/>
      <w:b/>
      <w:color w:val="auto"/>
      <w:lang w:val="en-US"/>
    </w:rPr>
  </w:style>
  <w:style w:type="character" w:customStyle="1" w:styleId="BulletLead-in1Car">
    <w:name w:val="Bullet Lead-in 1 Car"/>
    <w:rPr>
      <w:rFonts w:ascii="Century Gothic" w:hAnsi="Century Gothic" w:cs="Arial"/>
      <w:b/>
      <w:lang w:val="en-US" w:eastAsia="en-US"/>
    </w:rPr>
  </w:style>
  <w:style w:type="paragraph" w:customStyle="1" w:styleId="BulletLead-in2">
    <w:name w:val="Bullet Lead-in 2"/>
    <w:basedOn w:val="Normal"/>
    <w:pPr>
      <w:numPr>
        <w:numId w:val="1"/>
      </w:numPr>
    </w:pPr>
    <w:rPr>
      <w:rFonts w:ascii="Century Gothic" w:hAnsi="Century Gothic"/>
      <w:color w:val="auto"/>
    </w:rPr>
  </w:style>
  <w:style w:type="character" w:customStyle="1" w:styleId="BulletLead-in2Car">
    <w:name w:val="Bullet Lead-in 2 Car"/>
    <w:rPr>
      <w:rFonts w:ascii="Century Gothic" w:hAnsi="Century Gothic"/>
      <w:lang w:eastAsia="en-US"/>
    </w:rPr>
  </w:style>
  <w:style w:type="paragraph" w:styleId="TtuloTDC">
    <w:name w:val="TOC Heading"/>
    <w:basedOn w:val="Ttulo1"/>
    <w:next w:val="Normal"/>
    <w:rPr>
      <w:lang w:eastAsia="fr-FR"/>
    </w:rPr>
  </w:style>
  <w:style w:type="paragraph" w:styleId="Textoindependiente">
    <w:name w:val="Body Text"/>
    <w:basedOn w:val="Normal"/>
    <w:pPr>
      <w:spacing w:after="120" w:line="276" w:lineRule="auto"/>
      <w:ind w:left="708"/>
    </w:pPr>
    <w:rPr>
      <w:color w:val="002060"/>
      <w:szCs w:val="22"/>
      <w:lang w:val="en-US"/>
    </w:rPr>
  </w:style>
  <w:style w:type="character" w:customStyle="1" w:styleId="TextoindependienteCar">
    <w:name w:val="Texto independiente Car"/>
    <w:rPr>
      <w:rFonts w:ascii="Arial" w:eastAsia="Arial" w:hAnsi="Arial"/>
      <w:color w:val="002060"/>
      <w:szCs w:val="22"/>
      <w:lang w:val="en-US" w:eastAsia="en-US"/>
    </w:rPr>
  </w:style>
  <w:style w:type="character" w:customStyle="1" w:styleId="EncabezadoCar">
    <w:name w:val="Encabezado Car"/>
    <w:rPr>
      <w:rFonts w:ascii="Century Gothic" w:hAnsi="Century Gothic"/>
      <w:sz w:val="28"/>
      <w:lang w:eastAsia="en-US"/>
    </w:rPr>
  </w:style>
  <w:style w:type="character" w:styleId="Hipervnculo">
    <w:name w:val="Hyperlink"/>
    <w:rPr>
      <w:color w:val="55517B"/>
    </w:rPr>
  </w:style>
  <w:style w:type="paragraph" w:styleId="Textonotaalfinal">
    <w:name w:val="endnote text"/>
    <w:basedOn w:val="Normal"/>
    <w:pPr>
      <w:spacing w:line="240" w:lineRule="auto"/>
      <w:ind w:left="708"/>
    </w:pPr>
    <w:rPr>
      <w:color w:val="002060"/>
      <w:lang w:val="en-US"/>
    </w:rPr>
  </w:style>
  <w:style w:type="character" w:customStyle="1" w:styleId="TextonotaalfinalCar">
    <w:name w:val="Texto nota al final Car"/>
    <w:rPr>
      <w:rFonts w:ascii="Arial" w:eastAsia="Arial" w:hAnsi="Arial"/>
      <w:color w:val="002060"/>
      <w:lang w:val="en-US" w:eastAsia="en-US"/>
    </w:rPr>
  </w:style>
  <w:style w:type="character" w:styleId="Refdenotaalfinal">
    <w:name w:val="endnote reference"/>
    <w:rPr>
      <w:position w:val="0"/>
      <w:vertAlign w:val="superscript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pPr>
      <w:spacing w:after="200" w:line="240" w:lineRule="auto"/>
      <w:ind w:left="708"/>
    </w:pPr>
    <w:rPr>
      <w:color w:val="002060"/>
      <w:lang w:val="en-US"/>
    </w:rPr>
  </w:style>
  <w:style w:type="character" w:customStyle="1" w:styleId="TextocomentarioCar">
    <w:name w:val="Texto comentario Car"/>
    <w:rPr>
      <w:rFonts w:ascii="Arial" w:eastAsia="Arial" w:hAnsi="Arial"/>
      <w:color w:val="002060"/>
      <w:lang w:val="en-US" w:eastAsia="en-U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rFonts w:ascii="Arial" w:eastAsia="Arial" w:hAnsi="Arial"/>
      <w:b/>
      <w:bCs/>
      <w:color w:val="002060"/>
      <w:lang w:val="en-US" w:eastAsia="en-US"/>
    </w:rPr>
  </w:style>
  <w:style w:type="paragraph" w:styleId="Revisin">
    <w:name w:val="Revision"/>
    <w:pPr>
      <w:suppressAutoHyphens/>
    </w:pPr>
    <w:rPr>
      <w:color w:val="002060"/>
      <w:szCs w:val="22"/>
      <w:lang w:val="en-US" w:eastAsia="en-US"/>
    </w:rPr>
  </w:style>
  <w:style w:type="character" w:styleId="Hipervnculovisitado">
    <w:name w:val="FollowedHyperlink"/>
    <w:rPr>
      <w:color w:val="0F004E"/>
      <w:u w:val="single"/>
    </w:rPr>
  </w:style>
  <w:style w:type="paragraph" w:customStyle="1" w:styleId="Tablecaptiontext">
    <w:name w:val="Table caption text"/>
    <w:basedOn w:val="Normal"/>
    <w:pPr>
      <w:spacing w:line="260" w:lineRule="exact"/>
      <w:ind w:right="113"/>
    </w:pPr>
    <w:rPr>
      <w:rFonts w:ascii="Century Gothic" w:hAnsi="Century Gothic"/>
      <w:color w:val="auto"/>
      <w:sz w:val="16"/>
      <w:lang w:val="en-GB" w:eastAsia="fr-FR"/>
    </w:rPr>
  </w:style>
  <w:style w:type="paragraph" w:customStyle="1" w:styleId="Tablecolumntitle">
    <w:name w:val="Table column title"/>
    <w:basedOn w:val="Normal"/>
    <w:pPr>
      <w:spacing w:line="260" w:lineRule="exact"/>
      <w:ind w:left="113" w:right="113"/>
      <w:jc w:val="right"/>
    </w:pPr>
    <w:rPr>
      <w:rFonts w:ascii="Century Gothic" w:hAnsi="Century Gothic"/>
      <w:color w:val="auto"/>
      <w:sz w:val="16"/>
      <w:lang w:val="en-GB" w:eastAsia="fr-FR"/>
    </w:rPr>
  </w:style>
  <w:style w:type="character" w:customStyle="1" w:styleId="BoilerPlateChar">
    <w:name w:val="Boiler Plate Char"/>
    <w:rPr>
      <w:rFonts w:ascii="Century Gothic" w:eastAsia="Calibri" w:hAnsi="Century Gothic" w:cs="Calibri"/>
      <w:sz w:val="16"/>
      <w:szCs w:val="14"/>
      <w:lang w:val="en-US" w:eastAsia="en-US"/>
    </w:rPr>
  </w:style>
  <w:style w:type="paragraph" w:customStyle="1" w:styleId="BoilerPlate">
    <w:name w:val="Boiler Plate"/>
    <w:basedOn w:val="Normal"/>
    <w:pPr>
      <w:spacing w:line="254" w:lineRule="auto"/>
      <w:jc w:val="both"/>
    </w:pPr>
    <w:rPr>
      <w:rFonts w:ascii="Century Gothic" w:eastAsia="Calibri" w:hAnsi="Century Gothic" w:cs="Calibri"/>
      <w:color w:val="auto"/>
      <w:sz w:val="16"/>
      <w:szCs w:val="14"/>
      <w:lang w:val="en-US"/>
    </w:rPr>
  </w:style>
  <w:style w:type="paragraph" w:customStyle="1" w:styleId="Pagefooter">
    <w:name w:val="Page footer"/>
    <w:basedOn w:val="Normal"/>
    <w:pPr>
      <w:spacing w:line="200" w:lineRule="exact"/>
      <w:ind w:right="-199"/>
      <w:jc w:val="right"/>
    </w:pPr>
    <w:rPr>
      <w:color w:val="D52B1E"/>
      <w:sz w:val="12"/>
      <w:lang w:eastAsia="fr-FR"/>
    </w:rPr>
  </w:style>
  <w:style w:type="paragraph" w:customStyle="1" w:styleId="Title3">
    <w:name w:val="Title 3"/>
    <w:basedOn w:val="Normal"/>
    <w:pPr>
      <w:spacing w:line="254" w:lineRule="auto"/>
    </w:pPr>
    <w:rPr>
      <w:rFonts w:ascii="Century Gothic" w:hAnsi="Century Gothic"/>
      <w:b/>
      <w:color w:val="003591"/>
      <w:lang w:val="en-US"/>
    </w:rPr>
  </w:style>
  <w:style w:type="character" w:customStyle="1" w:styleId="Title3Car">
    <w:name w:val="Title 3 Car"/>
    <w:basedOn w:val="Fuentedeprrafopredeter"/>
    <w:rPr>
      <w:rFonts w:ascii="Century Gothic" w:hAnsi="Century Gothic" w:cs="Arial"/>
      <w:b/>
      <w:color w:val="003591"/>
      <w:lang w:val="en-US" w:eastAsia="en-US"/>
    </w:rPr>
  </w:style>
  <w:style w:type="paragraph" w:customStyle="1" w:styleId="Lead-in">
    <w:name w:val="Lead-in"/>
    <w:basedOn w:val="Text"/>
  </w:style>
  <w:style w:type="character" w:customStyle="1" w:styleId="Lead-inCar">
    <w:name w:val="Lead-in Car"/>
    <w:basedOn w:val="TextCar"/>
    <w:rPr>
      <w:rFonts w:ascii="Century Gothic" w:hAnsi="Century Gothic" w:cs="Arial"/>
      <w:lang w:val="en-US" w:eastAsia="en-US"/>
    </w:rPr>
  </w:style>
  <w:style w:type="paragraph" w:customStyle="1" w:styleId="BoxBullet1">
    <w:name w:val="Box Bullet 1"/>
    <w:pPr>
      <w:numPr>
        <w:numId w:val="2"/>
      </w:numPr>
      <w:suppressAutoHyphens/>
    </w:pPr>
    <w:rPr>
      <w:rFonts w:ascii="Century Gothic" w:hAnsi="Century Gothic"/>
      <w:b/>
      <w:color w:val="003591"/>
      <w:lang w:val="en-US"/>
    </w:rPr>
  </w:style>
  <w:style w:type="paragraph" w:styleId="Prrafodelista">
    <w:name w:val="List Paragraph"/>
    <w:basedOn w:val="Normal"/>
    <w:pPr>
      <w:ind w:left="720"/>
      <w:contextualSpacing/>
    </w:pPr>
  </w:style>
  <w:style w:type="paragraph" w:customStyle="1" w:styleId="BoxBullet2">
    <w:name w:val="Box Bullet 2"/>
    <w:pPr>
      <w:tabs>
        <w:tab w:val="num" w:pos="720"/>
      </w:tabs>
      <w:suppressAutoHyphens/>
      <w:ind w:left="720" w:hanging="720"/>
    </w:pPr>
    <w:rPr>
      <w:rFonts w:ascii="Century Gothic" w:hAnsi="Century Gothic"/>
      <w:lang w:eastAsia="en-US"/>
    </w:rPr>
  </w:style>
  <w:style w:type="character" w:customStyle="1" w:styleId="PrrafodelistaCar">
    <w:name w:val="Párrafo de lista Car"/>
    <w:rPr>
      <w:rFonts w:ascii="Arial" w:hAnsi="Arial"/>
      <w:color w:val="11204C"/>
      <w:lang w:eastAsia="en-US"/>
    </w:rPr>
  </w:style>
  <w:style w:type="paragraph" w:styleId="NormalWeb">
    <w:name w:val="Normal (Web)"/>
    <w:basedOn w:val="Normal"/>
    <w:uiPriority w:val="99"/>
    <w:pPr>
      <w:spacing w:line="240" w:lineRule="auto"/>
    </w:pPr>
    <w:rPr>
      <w:rFonts w:ascii="Calibri" w:eastAsia="Century Gothic" w:hAnsi="Calibri" w:cs="Calibri"/>
      <w:color w:val="auto"/>
      <w:sz w:val="22"/>
      <w:szCs w:val="22"/>
      <w:lang w:val="en-US" w:eastAsia="fr-FR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hAnsi="Times New Roman"/>
      <w:color w:val="auto"/>
      <w:sz w:val="24"/>
      <w:szCs w:val="24"/>
      <w:lang w:eastAsia="fr-FR"/>
    </w:rPr>
  </w:style>
  <w:style w:type="character" w:customStyle="1" w:styleId="normaltextrun">
    <w:name w:val="normaltextrun"/>
    <w:basedOn w:val="Fuentedeprrafopredeter"/>
  </w:style>
  <w:style w:type="character" w:customStyle="1" w:styleId="eop">
    <w:name w:val="eop"/>
    <w:basedOn w:val="Fuentedeprrafopredeter"/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numbering" w:customStyle="1" w:styleId="LFO10">
    <w:name w:val="LFO10"/>
    <w:basedOn w:val="Sinlista"/>
  </w:style>
  <w:style w:type="numbering" w:customStyle="1" w:styleId="LFO19">
    <w:name w:val="LFO19"/>
    <w:basedOn w:val="Sinlista"/>
  </w:style>
  <w:style w:type="numbering" w:customStyle="1" w:styleId="LFO20">
    <w:name w:val="LFO20"/>
    <w:basedOn w:val="Sinlist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quipo.edenred@newlink-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jandro.delgadosanchez@edenred.co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A4bHXuFG8ZK1f8jUvsxeC2OwKQ==">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905</Words>
  <Characters>4981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COURTOIS Cécile</dc:creator>
  <cp:lastModifiedBy>SÁNCHEZ Míriam</cp:lastModifiedBy>
  <cp:revision>3</cp:revision>
  <dcterms:created xsi:type="dcterms:W3CDTF">2025-07-07T16:34:00Z</dcterms:created>
  <dcterms:modified xsi:type="dcterms:W3CDTF">2026-07-21T07:16:00Z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0x010100C507B8DFC332A440B799D44257F07BA7</vt:lpwstr>
  </property>
  <property fmtid="{D5CDD505-2E9C-101B-9397-08002B2CF9AE}" pid="3" name="GrammarlyDocumentId">
    <vt:lpwstr>797d063b200a87c27582bd0be5c9c9e5374e71033a601ec6e631990873192edf</vt:lpwstr>
  </property>
  <property fmtid="{D5CDD505-2E9C-101B-9397-08002B2CF9AE}" pid="4" name="MSIP_Label_16091971-b0ef-48f5-bce1-a3196e01ad58_Enabled">
    <vt:lpwstr>true</vt:lpwstr>
  </property>
  <property fmtid="{D5CDD505-2E9C-101B-9397-08002B2CF9AE}" pid="5" name="MSIP_Label_16091971-b0ef-48f5-bce1-a3196e01ad58_SetDate">
    <vt:lpwstr>2026-07-21T07:16:23Z</vt:lpwstr>
  </property>
  <property fmtid="{D5CDD505-2E9C-101B-9397-08002B2CF9AE}" pid="6" name="MSIP_Label_16091971-b0ef-48f5-bce1-a3196e01ad58_Method">
    <vt:lpwstr>Privileged</vt:lpwstr>
  </property>
  <property fmtid="{D5CDD505-2E9C-101B-9397-08002B2CF9AE}" pid="7" name="MSIP_Label_16091971-b0ef-48f5-bce1-a3196e01ad58_Name">
    <vt:lpwstr>C2 – Internal</vt:lpwstr>
  </property>
  <property fmtid="{D5CDD505-2E9C-101B-9397-08002B2CF9AE}" pid="8" name="MSIP_Label_16091971-b0ef-48f5-bce1-a3196e01ad58_SiteId">
    <vt:lpwstr>4c1d9e0f-5c27-4228-a35a-de7b4083ff7b</vt:lpwstr>
  </property>
  <property fmtid="{D5CDD505-2E9C-101B-9397-08002B2CF9AE}" pid="9" name="MSIP_Label_16091971-b0ef-48f5-bce1-a3196e01ad58_ActionId">
    <vt:lpwstr>27036faa-351a-4d69-8b76-41234b82a433</vt:lpwstr>
  </property>
  <property fmtid="{D5CDD505-2E9C-101B-9397-08002B2CF9AE}" pid="10" name="MSIP_Label_16091971-b0ef-48f5-bce1-a3196e01ad58_ContentBits">
    <vt:lpwstr>0</vt:lpwstr>
  </property>
  <property fmtid="{D5CDD505-2E9C-101B-9397-08002B2CF9AE}" pid="11" name="MSIP_Label_16091971-b0ef-48f5-bce1-a3196e01ad58_Tag">
    <vt:lpwstr>10, 0, 1, 1</vt:lpwstr>
  </property>
</Properties>
</file>