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63F1" w14:textId="26030313" w:rsidR="0034131E" w:rsidRPr="00833D4F" w:rsidRDefault="00054F03">
      <w:pPr>
        <w:pBdr>
          <w:top w:val="nil"/>
          <w:left w:val="nil"/>
          <w:bottom w:val="nil"/>
          <w:right w:val="nil"/>
          <w:between w:val="nil"/>
        </w:pBdr>
        <w:tabs>
          <w:tab w:val="left" w:pos="996"/>
          <w:tab w:val="right" w:pos="8504"/>
        </w:tabs>
        <w:spacing w:line="254" w:lineRule="auto"/>
        <w:jc w:val="right"/>
        <w:rPr>
          <w:rFonts w:ascii="Century Gothic" w:eastAsia="Century Gothic" w:hAnsi="Century Gothic" w:cs="Century Gothic"/>
          <w:color w:val="000000"/>
          <w:sz w:val="28"/>
          <w:szCs w:val="28"/>
          <w:lang w:val="es-ES"/>
        </w:rPr>
      </w:pPr>
      <w:r>
        <w:rPr>
          <w:noProof/>
        </w:rPr>
        <w:drawing>
          <wp:anchor distT="0" distB="0" distL="0" distR="0" simplePos="0" relativeHeight="251658240" behindDoc="1" locked="0" layoutInCell="1" hidden="0" allowOverlap="1" wp14:anchorId="0CF9CF7E" wp14:editId="1F513E53">
            <wp:simplePos x="0" y="0"/>
            <wp:positionH relativeFrom="column">
              <wp:posOffset>-19431</wp:posOffset>
            </wp:positionH>
            <wp:positionV relativeFrom="paragraph">
              <wp:posOffset>-343840</wp:posOffset>
            </wp:positionV>
            <wp:extent cx="1345997" cy="833933"/>
            <wp:effectExtent l="0" t="0" r="6985" b="4445"/>
            <wp:wrapNone/>
            <wp:docPr id="8279376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47242" cy="834705"/>
                    </a:xfrm>
                    <a:prstGeom prst="rect">
                      <a:avLst/>
                    </a:prstGeom>
                    <a:ln/>
                  </pic:spPr>
                </pic:pic>
              </a:graphicData>
            </a:graphic>
            <wp14:sizeRelH relativeFrom="margin">
              <wp14:pctWidth>0</wp14:pctWidth>
            </wp14:sizeRelH>
            <wp14:sizeRelV relativeFrom="margin">
              <wp14:pctHeight>0</wp14:pctHeight>
            </wp14:sizeRelV>
          </wp:anchor>
        </w:drawing>
      </w:r>
      <w:r w:rsidR="00E660F9" w:rsidRPr="00833D4F">
        <w:rPr>
          <w:rFonts w:ascii="Century Gothic" w:eastAsia="Century Gothic" w:hAnsi="Century Gothic" w:cs="Century Gothic"/>
          <w:b/>
          <w:color w:val="000000"/>
          <w:sz w:val="28"/>
          <w:szCs w:val="28"/>
          <w:lang w:val="es-ES"/>
        </w:rPr>
        <w:t>Nota de prensa</w:t>
      </w:r>
    </w:p>
    <w:p w14:paraId="2721C22F" w14:textId="1233B754" w:rsidR="0034131E" w:rsidRPr="00833D4F" w:rsidRDefault="00C03BAF">
      <w:pPr>
        <w:pBdr>
          <w:top w:val="nil"/>
          <w:left w:val="nil"/>
          <w:bottom w:val="nil"/>
          <w:right w:val="nil"/>
          <w:between w:val="nil"/>
        </w:pBdr>
        <w:spacing w:line="254" w:lineRule="auto"/>
        <w:jc w:val="right"/>
        <w:rPr>
          <w:rFonts w:ascii="Century Gothic" w:eastAsia="Century Gothic" w:hAnsi="Century Gothic" w:cs="Century Gothic"/>
          <w:color w:val="000000"/>
          <w:sz w:val="28"/>
          <w:szCs w:val="28"/>
          <w:lang w:val="es-ES"/>
        </w:rPr>
      </w:pPr>
      <w:r>
        <w:rPr>
          <w:rFonts w:ascii="Century Gothic" w:eastAsia="Century Gothic" w:hAnsi="Century Gothic" w:cs="Century Gothic"/>
          <w:color w:val="000000"/>
          <w:sz w:val="22"/>
          <w:szCs w:val="22"/>
          <w:lang w:val="es-ES"/>
        </w:rPr>
        <w:t>2</w:t>
      </w:r>
      <w:r w:rsidR="00054F03">
        <w:rPr>
          <w:rFonts w:ascii="Century Gothic" w:eastAsia="Century Gothic" w:hAnsi="Century Gothic" w:cs="Century Gothic"/>
          <w:color w:val="000000"/>
          <w:sz w:val="22"/>
          <w:szCs w:val="22"/>
          <w:lang w:val="es-ES"/>
        </w:rPr>
        <w:t>5</w:t>
      </w:r>
      <w:r w:rsidR="00F71D13">
        <w:rPr>
          <w:rFonts w:ascii="Century Gothic" w:eastAsia="Century Gothic" w:hAnsi="Century Gothic" w:cs="Century Gothic"/>
          <w:color w:val="000000"/>
          <w:sz w:val="22"/>
          <w:szCs w:val="22"/>
          <w:lang w:val="es-ES"/>
        </w:rPr>
        <w:t xml:space="preserve"> </w:t>
      </w:r>
      <w:r w:rsidR="00E660F9" w:rsidRPr="00833D4F">
        <w:rPr>
          <w:rFonts w:ascii="Century Gothic" w:eastAsia="Century Gothic" w:hAnsi="Century Gothic" w:cs="Century Gothic"/>
          <w:color w:val="000000"/>
          <w:sz w:val="22"/>
          <w:szCs w:val="22"/>
          <w:lang w:val="es-ES"/>
        </w:rPr>
        <w:t xml:space="preserve">de </w:t>
      </w:r>
      <w:r w:rsidR="00DF1697">
        <w:rPr>
          <w:rFonts w:ascii="Century Gothic" w:eastAsia="Century Gothic" w:hAnsi="Century Gothic" w:cs="Century Gothic"/>
          <w:color w:val="000000"/>
          <w:sz w:val="22"/>
          <w:szCs w:val="22"/>
          <w:lang w:val="es-ES"/>
        </w:rPr>
        <w:t>noviembre</w:t>
      </w:r>
      <w:r w:rsidR="00E660F9" w:rsidRPr="00833D4F">
        <w:rPr>
          <w:rFonts w:ascii="Century Gothic" w:eastAsia="Century Gothic" w:hAnsi="Century Gothic" w:cs="Century Gothic"/>
          <w:color w:val="000000"/>
          <w:sz w:val="22"/>
          <w:szCs w:val="22"/>
          <w:lang w:val="es-ES"/>
        </w:rPr>
        <w:t xml:space="preserve"> de 2025</w:t>
      </w:r>
    </w:p>
    <w:p w14:paraId="5523504D" w14:textId="77777777" w:rsidR="0034131E" w:rsidRPr="00833D4F" w:rsidRDefault="0034131E">
      <w:pPr>
        <w:pBdr>
          <w:top w:val="nil"/>
          <w:left w:val="nil"/>
          <w:bottom w:val="nil"/>
          <w:right w:val="nil"/>
          <w:between w:val="nil"/>
        </w:pBdr>
        <w:spacing w:line="254" w:lineRule="auto"/>
        <w:ind w:left="709" w:hanging="709"/>
        <w:jc w:val="center"/>
        <w:rPr>
          <w:rFonts w:ascii="Century Gothic" w:eastAsia="Century Gothic" w:hAnsi="Century Gothic" w:cs="Century Gothic"/>
          <w:color w:val="162056"/>
          <w:sz w:val="48"/>
          <w:szCs w:val="48"/>
          <w:lang w:val="es-ES"/>
        </w:rPr>
      </w:pPr>
    </w:p>
    <w:p w14:paraId="6D96D09C" w14:textId="34D5102E" w:rsidR="00022255" w:rsidRPr="007C14D6" w:rsidRDefault="003E2FB8">
      <w:pPr>
        <w:jc w:val="center"/>
        <w:rPr>
          <w:rFonts w:ascii="Century Gothic" w:eastAsia="Century Gothic" w:hAnsi="Century Gothic" w:cs="Century Gothic"/>
          <w:color w:val="000000"/>
          <w:sz w:val="44"/>
          <w:szCs w:val="44"/>
          <w:lang w:val="es-ES"/>
        </w:rPr>
      </w:pPr>
      <w:r w:rsidRPr="007C14D6">
        <w:rPr>
          <w:rFonts w:ascii="Century Gothic" w:eastAsia="Century Gothic" w:hAnsi="Century Gothic" w:cs="Century Gothic"/>
          <w:color w:val="000000"/>
          <w:sz w:val="44"/>
          <w:szCs w:val="44"/>
          <w:lang w:val="es-ES"/>
        </w:rPr>
        <w:t>El</w:t>
      </w:r>
      <w:r w:rsidR="00AE6FF0" w:rsidRPr="007C14D6">
        <w:rPr>
          <w:rFonts w:ascii="Century Gothic" w:eastAsia="Century Gothic" w:hAnsi="Century Gothic" w:cs="Century Gothic"/>
          <w:color w:val="000000"/>
          <w:sz w:val="44"/>
          <w:szCs w:val="44"/>
          <w:lang w:val="es-ES"/>
        </w:rPr>
        <w:t xml:space="preserve"> </w:t>
      </w:r>
      <w:r w:rsidRPr="007C14D6">
        <w:rPr>
          <w:rFonts w:ascii="Century Gothic" w:eastAsia="Century Gothic" w:hAnsi="Century Gothic" w:cs="Century Gothic"/>
          <w:color w:val="000000"/>
          <w:sz w:val="44"/>
          <w:szCs w:val="44"/>
          <w:lang w:val="es-ES"/>
        </w:rPr>
        <w:t>menú del día se sitúa de media en 14,2€ en España</w:t>
      </w:r>
    </w:p>
    <w:p w14:paraId="4618A9F9" w14:textId="77777777" w:rsidR="00A95D2A" w:rsidRDefault="00A95D2A" w:rsidP="0005490B">
      <w:pPr>
        <w:pBdr>
          <w:top w:val="nil"/>
          <w:left w:val="nil"/>
          <w:bottom w:val="nil"/>
          <w:right w:val="nil"/>
          <w:between w:val="nil"/>
        </w:pBdr>
        <w:spacing w:line="240" w:lineRule="auto"/>
        <w:jc w:val="both"/>
        <w:rPr>
          <w:rFonts w:ascii="Century Gothic" w:hAnsi="Century Gothic" w:cs="Century Gothic"/>
          <w:b/>
          <w:bCs/>
          <w:color w:val="000000"/>
          <w:lang w:val="es-ES"/>
        </w:rPr>
      </w:pPr>
    </w:p>
    <w:p w14:paraId="3DD4C914" w14:textId="77777777" w:rsidR="005D09EE" w:rsidRPr="00833D4F" w:rsidRDefault="005D09EE" w:rsidP="00584BD2">
      <w:pPr>
        <w:pBdr>
          <w:top w:val="nil"/>
          <w:left w:val="nil"/>
          <w:bottom w:val="nil"/>
          <w:right w:val="nil"/>
          <w:between w:val="nil"/>
        </w:pBdr>
        <w:spacing w:line="240" w:lineRule="auto"/>
        <w:ind w:left="720"/>
        <w:jc w:val="both"/>
        <w:rPr>
          <w:lang w:val="es-ES"/>
        </w:rPr>
      </w:pPr>
    </w:p>
    <w:p w14:paraId="401928B7" w14:textId="77777777" w:rsidR="00106125" w:rsidRPr="007C14D6" w:rsidRDefault="00106125" w:rsidP="00106125">
      <w:pPr>
        <w:jc w:val="both"/>
        <w:rPr>
          <w:rFonts w:ascii="Century Gothic" w:hAnsi="Century Gothic"/>
          <w:color w:val="auto"/>
          <w:lang w:val="es-ES"/>
        </w:rPr>
      </w:pPr>
      <w:r w:rsidRPr="007C14D6">
        <w:rPr>
          <w:rFonts w:ascii="Century Gothic" w:hAnsi="Century Gothic"/>
          <w:b/>
          <w:bCs/>
          <w:color w:val="auto"/>
          <w:lang w:val="es-ES"/>
        </w:rPr>
        <w:t>Hostelería de España</w:t>
      </w:r>
      <w:r w:rsidRPr="007C14D6">
        <w:rPr>
          <w:rFonts w:ascii="Century Gothic" w:hAnsi="Century Gothic"/>
          <w:color w:val="auto"/>
          <w:lang w:val="es-ES"/>
        </w:rPr>
        <w:t xml:space="preserve"> en colaboración con </w:t>
      </w:r>
      <w:r w:rsidRPr="007C14D6">
        <w:rPr>
          <w:rFonts w:ascii="Century Gothic" w:hAnsi="Century Gothic"/>
          <w:b/>
          <w:bCs/>
          <w:color w:val="auto"/>
          <w:lang w:val="es-ES"/>
        </w:rPr>
        <w:t>Edenred</w:t>
      </w:r>
      <w:r w:rsidRPr="007C14D6">
        <w:rPr>
          <w:rFonts w:ascii="Century Gothic" w:hAnsi="Century Gothic"/>
          <w:color w:val="auto"/>
          <w:lang w:val="es-ES"/>
        </w:rPr>
        <w:t xml:space="preserve"> ha elaborado, un año más, una encuesta para </w:t>
      </w:r>
      <w:r w:rsidRPr="007C14D6">
        <w:rPr>
          <w:rFonts w:ascii="Century Gothic" w:hAnsi="Century Gothic"/>
          <w:b/>
          <w:bCs/>
          <w:color w:val="auto"/>
          <w:lang w:val="es-ES"/>
        </w:rPr>
        <w:t xml:space="preserve">detectar la evolución del menú del día, </w:t>
      </w:r>
      <w:r w:rsidRPr="007C14D6">
        <w:rPr>
          <w:rFonts w:ascii="Century Gothic" w:hAnsi="Century Gothic"/>
          <w:color w:val="auto"/>
          <w:lang w:val="es-ES"/>
        </w:rPr>
        <w:t xml:space="preserve">que desprende que </w:t>
      </w:r>
      <w:r w:rsidRPr="007C14D6">
        <w:rPr>
          <w:rFonts w:ascii="Century Gothic" w:hAnsi="Century Gothic"/>
          <w:b/>
          <w:bCs/>
          <w:color w:val="auto"/>
          <w:lang w:val="es-ES"/>
        </w:rPr>
        <w:t>el precio medio del menú del día es de 14,2 €</w:t>
      </w:r>
      <w:r w:rsidRPr="007C14D6">
        <w:rPr>
          <w:rFonts w:ascii="Century Gothic" w:hAnsi="Century Gothic"/>
          <w:color w:val="auto"/>
          <w:lang w:val="es-ES"/>
        </w:rPr>
        <w:t>, un 1,5 % más que el año anterior, cuando se situaba de media en 14 €.</w:t>
      </w:r>
    </w:p>
    <w:p w14:paraId="0558C328" w14:textId="77777777" w:rsidR="00106125" w:rsidRPr="007C14D6" w:rsidRDefault="00106125" w:rsidP="00106125">
      <w:pPr>
        <w:jc w:val="both"/>
        <w:rPr>
          <w:rFonts w:ascii="Century Gothic" w:hAnsi="Century Gothic"/>
          <w:color w:val="auto"/>
          <w:lang w:val="es-ES"/>
        </w:rPr>
      </w:pPr>
    </w:p>
    <w:p w14:paraId="203BC70E" w14:textId="1C80696A" w:rsidR="00106125" w:rsidRPr="007C14D6" w:rsidRDefault="00106125" w:rsidP="00106125">
      <w:pPr>
        <w:jc w:val="both"/>
        <w:rPr>
          <w:rFonts w:ascii="Century Gothic" w:hAnsi="Century Gothic"/>
          <w:color w:val="auto"/>
          <w:lang w:val="es-ES"/>
        </w:rPr>
      </w:pPr>
      <w:r w:rsidRPr="007C14D6">
        <w:rPr>
          <w:rFonts w:ascii="Century Gothic" w:hAnsi="Century Gothic"/>
          <w:color w:val="auto"/>
          <w:lang w:val="es-ES"/>
        </w:rPr>
        <w:t xml:space="preserve">El </w:t>
      </w:r>
      <w:r w:rsidRPr="007C14D6">
        <w:rPr>
          <w:rFonts w:ascii="Century Gothic" w:hAnsi="Century Gothic"/>
          <w:b/>
          <w:bCs/>
          <w:color w:val="auto"/>
          <w:lang w:val="es-ES"/>
        </w:rPr>
        <w:t>menú del día es un recurso económico</w:t>
      </w:r>
      <w:r w:rsidRPr="007C14D6">
        <w:rPr>
          <w:rFonts w:ascii="Century Gothic" w:hAnsi="Century Gothic"/>
          <w:color w:val="auto"/>
          <w:lang w:val="es-ES"/>
        </w:rPr>
        <w:t xml:space="preserve">, que supone para las personas trabajadoras </w:t>
      </w:r>
      <w:r w:rsidRPr="007C14D6">
        <w:rPr>
          <w:rFonts w:ascii="Century Gothic" w:hAnsi="Century Gothic"/>
          <w:b/>
          <w:bCs/>
          <w:color w:val="auto"/>
          <w:lang w:val="es-ES"/>
        </w:rPr>
        <w:t>un paréntesis en medio de unas jornadas laborales cada vez más exigentes</w:t>
      </w:r>
      <w:r w:rsidRPr="007C14D6">
        <w:rPr>
          <w:rFonts w:ascii="Century Gothic" w:hAnsi="Century Gothic"/>
          <w:color w:val="auto"/>
          <w:lang w:val="es-ES"/>
        </w:rPr>
        <w:t xml:space="preserve">, que ofrece una </w:t>
      </w:r>
      <w:r w:rsidRPr="007C14D6">
        <w:rPr>
          <w:rFonts w:ascii="Century Gothic" w:hAnsi="Century Gothic"/>
          <w:b/>
          <w:bCs/>
          <w:color w:val="auto"/>
          <w:lang w:val="es-ES"/>
        </w:rPr>
        <w:t>opción saludable y sostenible</w:t>
      </w:r>
      <w:r w:rsidRPr="007C14D6">
        <w:rPr>
          <w:rFonts w:ascii="Century Gothic" w:hAnsi="Century Gothic"/>
          <w:color w:val="auto"/>
          <w:lang w:val="es-ES"/>
        </w:rPr>
        <w:t xml:space="preserve">, con productos de temporada y platos de cuchara, y que </w:t>
      </w:r>
      <w:r w:rsidRPr="007C14D6">
        <w:rPr>
          <w:rFonts w:ascii="Century Gothic" w:hAnsi="Century Gothic"/>
          <w:b/>
          <w:bCs/>
          <w:color w:val="auto"/>
          <w:lang w:val="es-ES"/>
        </w:rPr>
        <w:t>genera hasta cuatro veces menos desperdicio que el consumo en el hogar</w:t>
      </w:r>
      <w:r w:rsidRPr="007C14D6">
        <w:rPr>
          <w:rFonts w:ascii="Century Gothic" w:hAnsi="Century Gothic"/>
          <w:color w:val="auto"/>
          <w:lang w:val="es-ES"/>
        </w:rPr>
        <w:t>. Sin embargo, el consumidor es muy sensible a las subidas de precio, lo que limita la capacidad de los hosteleros para ajustar sus precios, y afecta directamente a sus márgenes. De hecho, según los Indicadores de Actividad del INE, aunque la evolución de la facturación de la restauración en la media hasta agosto muestra un crecimiento de un 3,4%, en términos de rentabilidad se observa un descenso de un 0,6%.</w:t>
      </w:r>
    </w:p>
    <w:p w14:paraId="6C8A7ED0" w14:textId="77777777" w:rsidR="00106125" w:rsidRPr="007C14D6" w:rsidRDefault="00106125" w:rsidP="00106125">
      <w:pPr>
        <w:jc w:val="both"/>
        <w:rPr>
          <w:rFonts w:ascii="Century Gothic" w:hAnsi="Century Gothic"/>
          <w:color w:val="auto"/>
          <w:lang w:val="es-ES"/>
        </w:rPr>
      </w:pPr>
    </w:p>
    <w:p w14:paraId="30501E02" w14:textId="3943791F" w:rsidR="00106125" w:rsidRPr="007C14D6" w:rsidRDefault="00106125" w:rsidP="00106125">
      <w:pPr>
        <w:jc w:val="both"/>
        <w:rPr>
          <w:rFonts w:ascii="Century Gothic" w:hAnsi="Century Gothic"/>
          <w:color w:val="auto"/>
          <w:lang w:val="es-ES"/>
        </w:rPr>
      </w:pPr>
      <w:r w:rsidRPr="007C14D6">
        <w:rPr>
          <w:rFonts w:ascii="Century Gothic" w:hAnsi="Century Gothic"/>
          <w:color w:val="auto"/>
          <w:lang w:val="es-ES"/>
        </w:rPr>
        <w:t xml:space="preserve">Esto está justificado por el </w:t>
      </w:r>
      <w:r w:rsidRPr="007C14D6">
        <w:rPr>
          <w:rFonts w:ascii="Century Gothic" w:hAnsi="Century Gothic"/>
          <w:b/>
          <w:bCs/>
          <w:color w:val="auto"/>
          <w:lang w:val="es-ES"/>
        </w:rPr>
        <w:t>aumento generalizado de los costes de producción</w:t>
      </w:r>
      <w:r w:rsidRPr="007C14D6">
        <w:rPr>
          <w:rFonts w:ascii="Century Gothic" w:hAnsi="Century Gothic"/>
          <w:color w:val="auto"/>
          <w:lang w:val="es-ES"/>
        </w:rPr>
        <w:t xml:space="preserve">. La tasa de variación anual del IPC en España se situó en el 3% en septiembre y acumula un 1,7% de subida en los nueve primeros meses de 2025. Hay que destacar especialmente el grupo de alimentos y bebidas, que, si bien ha moderado su crecimiento en el último año, </w:t>
      </w:r>
      <w:r w:rsidRPr="007C14D6">
        <w:rPr>
          <w:rFonts w:ascii="Century Gothic" w:hAnsi="Century Gothic"/>
          <w:b/>
          <w:bCs/>
          <w:color w:val="auto"/>
          <w:lang w:val="es-ES"/>
        </w:rPr>
        <w:t>algunos productos básicos para el sector suponen subidas anuales de doble dígito</w:t>
      </w:r>
      <w:r w:rsidRPr="007C14D6">
        <w:rPr>
          <w:rFonts w:ascii="Century Gothic" w:hAnsi="Century Gothic"/>
          <w:color w:val="auto"/>
          <w:lang w:val="es-ES"/>
        </w:rPr>
        <w:t xml:space="preserve">. En concreto, los huevos (+17,9% anual, +15,9% acumulado), la carne de vacuno (+16,5%, +10,7% acumulado) y el café (+19,9%, +13,2% acumulado). Por su parte, el aceite de oliva ha descendido en los últimos meses, aunque el conjunto de otros aceites supone una subida de un 18,2% en septiembre y un 7,5% en el acumulado. </w:t>
      </w:r>
    </w:p>
    <w:p w14:paraId="00FC0DBB" w14:textId="77777777" w:rsidR="00106125" w:rsidRPr="007C14D6" w:rsidRDefault="00106125" w:rsidP="00106125">
      <w:pPr>
        <w:jc w:val="both"/>
        <w:rPr>
          <w:rFonts w:ascii="Century Gothic" w:hAnsi="Century Gothic"/>
          <w:color w:val="auto"/>
          <w:lang w:val="es-ES"/>
        </w:rPr>
      </w:pPr>
    </w:p>
    <w:p w14:paraId="0C9BF5DE" w14:textId="182FE8A0" w:rsidR="00106125" w:rsidRPr="007C14D6" w:rsidRDefault="00106125" w:rsidP="00106125">
      <w:pPr>
        <w:jc w:val="both"/>
        <w:rPr>
          <w:rFonts w:ascii="Century Gothic" w:hAnsi="Century Gothic"/>
          <w:b/>
          <w:bCs/>
          <w:color w:val="auto"/>
          <w:lang w:val="es-ES"/>
        </w:rPr>
      </w:pPr>
      <w:r w:rsidRPr="007C14D6">
        <w:rPr>
          <w:rFonts w:ascii="Century Gothic" w:hAnsi="Century Gothic"/>
          <w:color w:val="auto"/>
          <w:lang w:val="es-ES"/>
        </w:rPr>
        <w:t xml:space="preserve">A esto se suma el </w:t>
      </w:r>
      <w:r w:rsidRPr="007C14D6">
        <w:rPr>
          <w:rFonts w:ascii="Century Gothic" w:hAnsi="Century Gothic"/>
          <w:b/>
          <w:bCs/>
          <w:color w:val="auto"/>
          <w:lang w:val="es-ES"/>
        </w:rPr>
        <w:t>incremento en el último año del coste de la electricidad</w:t>
      </w:r>
      <w:r w:rsidRPr="007C14D6">
        <w:rPr>
          <w:rFonts w:ascii="Century Gothic" w:hAnsi="Century Gothic"/>
          <w:color w:val="auto"/>
          <w:lang w:val="es-ES"/>
        </w:rPr>
        <w:t xml:space="preserve"> (+16,8% en septiembre y +9,3% en el acumulado), así como la </w:t>
      </w:r>
      <w:r w:rsidRPr="007C14D6">
        <w:rPr>
          <w:rFonts w:ascii="Century Gothic" w:hAnsi="Century Gothic"/>
          <w:b/>
          <w:bCs/>
          <w:color w:val="auto"/>
          <w:lang w:val="es-ES"/>
        </w:rPr>
        <w:t>subida de la cuota de los autónomos y de los alquileres.</w:t>
      </w:r>
    </w:p>
    <w:p w14:paraId="14724596" w14:textId="77777777" w:rsidR="00106125" w:rsidRPr="007C14D6" w:rsidRDefault="00106125" w:rsidP="00106125">
      <w:pPr>
        <w:jc w:val="both"/>
        <w:rPr>
          <w:rFonts w:ascii="Century Gothic" w:hAnsi="Century Gothic"/>
          <w:color w:val="auto"/>
          <w:lang w:val="es-ES"/>
        </w:rPr>
      </w:pPr>
    </w:p>
    <w:p w14:paraId="5633EF88" w14:textId="60A77CF9" w:rsidR="00106125" w:rsidRPr="007C14D6" w:rsidRDefault="00106125" w:rsidP="00106125">
      <w:pPr>
        <w:jc w:val="both"/>
        <w:rPr>
          <w:rFonts w:ascii="Century Gothic" w:hAnsi="Century Gothic"/>
          <w:color w:val="auto"/>
          <w:lang w:val="es-ES"/>
        </w:rPr>
      </w:pPr>
      <w:r w:rsidRPr="007C14D6">
        <w:rPr>
          <w:rFonts w:ascii="Century Gothic" w:hAnsi="Century Gothic"/>
          <w:color w:val="auto"/>
          <w:lang w:val="es-ES"/>
        </w:rPr>
        <w:t xml:space="preserve">Por otro lado, la </w:t>
      </w:r>
      <w:r w:rsidRPr="007C14D6">
        <w:rPr>
          <w:rFonts w:ascii="Century Gothic" w:hAnsi="Century Gothic"/>
          <w:b/>
          <w:bCs/>
          <w:color w:val="auto"/>
          <w:lang w:val="es-ES"/>
        </w:rPr>
        <w:t>evolución de los costes laborales para la rama de Restauración</w:t>
      </w:r>
      <w:r w:rsidRPr="007C14D6">
        <w:rPr>
          <w:rFonts w:ascii="Century Gothic" w:hAnsi="Century Gothic"/>
          <w:color w:val="auto"/>
          <w:lang w:val="es-ES"/>
        </w:rPr>
        <w:t xml:space="preserve"> supone un </w:t>
      </w:r>
      <w:r w:rsidRPr="007C14D6">
        <w:rPr>
          <w:rFonts w:ascii="Century Gothic" w:hAnsi="Century Gothic"/>
          <w:b/>
          <w:bCs/>
          <w:color w:val="auto"/>
          <w:lang w:val="es-ES"/>
        </w:rPr>
        <w:t>crecimiento de</w:t>
      </w:r>
      <w:r w:rsidRPr="007C14D6">
        <w:rPr>
          <w:rFonts w:ascii="Century Gothic" w:hAnsi="Century Gothic"/>
          <w:color w:val="auto"/>
          <w:lang w:val="es-ES"/>
        </w:rPr>
        <w:t xml:space="preserve"> </w:t>
      </w:r>
      <w:r w:rsidRPr="007C14D6">
        <w:rPr>
          <w:rFonts w:ascii="Century Gothic" w:hAnsi="Century Gothic"/>
          <w:b/>
          <w:bCs/>
          <w:color w:val="auto"/>
          <w:lang w:val="es-ES"/>
        </w:rPr>
        <w:t>un 1,3% en el primer semestre respecto al mismo período del año anterior</w:t>
      </w:r>
      <w:r w:rsidRPr="007C14D6">
        <w:rPr>
          <w:rFonts w:ascii="Century Gothic" w:hAnsi="Century Gothic"/>
          <w:color w:val="auto"/>
          <w:lang w:val="es-ES"/>
        </w:rPr>
        <w:t>, según la Encuesta Trimestral de Coste Laboral.</w:t>
      </w:r>
    </w:p>
    <w:p w14:paraId="217922DA" w14:textId="77777777" w:rsidR="00106125" w:rsidRPr="007C14D6" w:rsidRDefault="00106125" w:rsidP="00106125">
      <w:pPr>
        <w:jc w:val="both"/>
        <w:rPr>
          <w:rFonts w:ascii="Century Gothic" w:hAnsi="Century Gothic"/>
          <w:color w:val="auto"/>
          <w:lang w:val="es-ES"/>
        </w:rPr>
      </w:pPr>
    </w:p>
    <w:p w14:paraId="4F09FF45" w14:textId="7EE4445C" w:rsidR="00106125" w:rsidRPr="007C14D6" w:rsidRDefault="00106125" w:rsidP="00106125">
      <w:pPr>
        <w:jc w:val="both"/>
        <w:rPr>
          <w:rFonts w:ascii="Century Gothic" w:hAnsi="Century Gothic"/>
          <w:b/>
          <w:bCs/>
          <w:color w:val="auto"/>
          <w:lang w:val="es-ES"/>
        </w:rPr>
      </w:pPr>
      <w:r w:rsidRPr="007C14D6">
        <w:rPr>
          <w:rFonts w:ascii="Century Gothic" w:hAnsi="Century Gothic"/>
          <w:b/>
          <w:bCs/>
          <w:color w:val="auto"/>
          <w:lang w:val="es-ES"/>
        </w:rPr>
        <w:t>La evolución del menú del día en las comunidades autónomas</w:t>
      </w:r>
    </w:p>
    <w:p w14:paraId="134D0807" w14:textId="77777777" w:rsidR="00106125" w:rsidRPr="007C14D6" w:rsidRDefault="00106125" w:rsidP="00106125">
      <w:pPr>
        <w:jc w:val="both"/>
        <w:rPr>
          <w:rFonts w:ascii="Century Gothic" w:hAnsi="Century Gothic"/>
          <w:color w:val="auto"/>
          <w:lang w:val="es-ES"/>
        </w:rPr>
      </w:pPr>
    </w:p>
    <w:p w14:paraId="4D92E297" w14:textId="0D39C026" w:rsidR="00106125" w:rsidRPr="007C14D6" w:rsidRDefault="00106125" w:rsidP="00106125">
      <w:pPr>
        <w:jc w:val="both"/>
        <w:rPr>
          <w:rFonts w:ascii="Century Gothic" w:hAnsi="Century Gothic"/>
          <w:color w:val="auto"/>
          <w:lang w:val="es-ES"/>
        </w:rPr>
      </w:pPr>
      <w:r w:rsidRPr="007C14D6">
        <w:rPr>
          <w:rFonts w:ascii="Century Gothic" w:hAnsi="Century Gothic"/>
          <w:color w:val="auto"/>
          <w:lang w:val="es-ES"/>
        </w:rPr>
        <w:t xml:space="preserve">Por comunidades autónomas, </w:t>
      </w:r>
      <w:r w:rsidRPr="007C14D6">
        <w:rPr>
          <w:rFonts w:ascii="Century Gothic" w:hAnsi="Century Gothic"/>
          <w:b/>
          <w:bCs/>
          <w:color w:val="auto"/>
          <w:lang w:val="es-ES"/>
        </w:rPr>
        <w:t>Canarias</w:t>
      </w:r>
      <w:r w:rsidRPr="007C14D6">
        <w:rPr>
          <w:rFonts w:ascii="Century Gothic" w:hAnsi="Century Gothic"/>
          <w:color w:val="auto"/>
          <w:lang w:val="es-ES"/>
        </w:rPr>
        <w:t xml:space="preserve"> (13 €), </w:t>
      </w:r>
      <w:r w:rsidRPr="007C14D6">
        <w:rPr>
          <w:rFonts w:ascii="Century Gothic" w:hAnsi="Century Gothic"/>
          <w:b/>
          <w:bCs/>
          <w:color w:val="auto"/>
          <w:lang w:val="es-ES"/>
        </w:rPr>
        <w:t>Asturias</w:t>
      </w:r>
      <w:r w:rsidRPr="007C14D6">
        <w:rPr>
          <w:rFonts w:ascii="Century Gothic" w:hAnsi="Century Gothic"/>
          <w:color w:val="auto"/>
          <w:lang w:val="es-ES"/>
        </w:rPr>
        <w:t xml:space="preserve"> (13,2 €), y </w:t>
      </w:r>
      <w:r w:rsidRPr="007C14D6">
        <w:rPr>
          <w:rFonts w:ascii="Century Gothic" w:hAnsi="Century Gothic"/>
          <w:b/>
          <w:bCs/>
          <w:color w:val="auto"/>
          <w:lang w:val="es-ES"/>
        </w:rPr>
        <w:t>Andalucía y Murcia</w:t>
      </w:r>
      <w:r w:rsidRPr="007C14D6">
        <w:rPr>
          <w:rFonts w:ascii="Century Gothic" w:hAnsi="Century Gothic"/>
          <w:color w:val="auto"/>
          <w:lang w:val="es-ES"/>
        </w:rPr>
        <w:t xml:space="preserve"> (13,4 € las dos) </w:t>
      </w:r>
      <w:r w:rsidRPr="007C14D6">
        <w:rPr>
          <w:rFonts w:ascii="Century Gothic" w:hAnsi="Century Gothic"/>
          <w:b/>
          <w:bCs/>
          <w:color w:val="auto"/>
          <w:lang w:val="es-ES"/>
        </w:rPr>
        <w:t>suponen los precios más económicos</w:t>
      </w:r>
      <w:r w:rsidRPr="007C14D6">
        <w:rPr>
          <w:rFonts w:ascii="Century Gothic" w:hAnsi="Century Gothic"/>
          <w:color w:val="auto"/>
          <w:lang w:val="es-ES"/>
        </w:rPr>
        <w:t xml:space="preserve">, mientras que </w:t>
      </w:r>
      <w:r w:rsidRPr="007C14D6">
        <w:rPr>
          <w:rFonts w:ascii="Century Gothic" w:hAnsi="Century Gothic"/>
          <w:b/>
          <w:bCs/>
          <w:color w:val="auto"/>
          <w:lang w:val="es-ES"/>
        </w:rPr>
        <w:t>Baleares</w:t>
      </w:r>
      <w:r w:rsidRPr="007C14D6">
        <w:rPr>
          <w:rFonts w:ascii="Century Gothic" w:hAnsi="Century Gothic"/>
          <w:color w:val="auto"/>
          <w:lang w:val="es-ES"/>
        </w:rPr>
        <w:t xml:space="preserve"> (16 €)</w:t>
      </w:r>
      <w:r w:rsidRPr="007C14D6">
        <w:rPr>
          <w:rFonts w:ascii="Century Gothic" w:hAnsi="Century Gothic"/>
          <w:b/>
          <w:bCs/>
          <w:color w:val="auto"/>
          <w:lang w:val="es-ES"/>
        </w:rPr>
        <w:t>, País Vasco</w:t>
      </w:r>
      <w:r w:rsidRPr="007C14D6">
        <w:rPr>
          <w:rFonts w:ascii="Century Gothic" w:hAnsi="Century Gothic"/>
          <w:color w:val="auto"/>
          <w:lang w:val="es-ES"/>
        </w:rPr>
        <w:t xml:space="preserve"> (15,8 €) y </w:t>
      </w:r>
      <w:r w:rsidRPr="007C14D6">
        <w:rPr>
          <w:rFonts w:ascii="Century Gothic" w:hAnsi="Century Gothic"/>
          <w:b/>
          <w:bCs/>
          <w:color w:val="auto"/>
          <w:lang w:val="es-ES"/>
        </w:rPr>
        <w:t>Cataluña</w:t>
      </w:r>
      <w:r w:rsidRPr="007C14D6">
        <w:rPr>
          <w:rFonts w:ascii="Century Gothic" w:hAnsi="Century Gothic"/>
          <w:color w:val="auto"/>
          <w:lang w:val="es-ES"/>
        </w:rPr>
        <w:t xml:space="preserve"> (15,4 €), </w:t>
      </w:r>
      <w:r w:rsidRPr="007C14D6">
        <w:rPr>
          <w:rFonts w:ascii="Century Gothic" w:hAnsi="Century Gothic"/>
          <w:b/>
          <w:bCs/>
          <w:color w:val="auto"/>
          <w:lang w:val="es-ES"/>
        </w:rPr>
        <w:t>tienen de media los precios más elevados</w:t>
      </w:r>
      <w:r w:rsidRPr="007C14D6">
        <w:rPr>
          <w:rFonts w:ascii="Century Gothic" w:hAnsi="Century Gothic"/>
          <w:color w:val="auto"/>
          <w:lang w:val="es-ES"/>
        </w:rPr>
        <w:t>.</w:t>
      </w:r>
    </w:p>
    <w:p w14:paraId="0F115C4F" w14:textId="77777777" w:rsidR="00106125" w:rsidRPr="007C14D6" w:rsidRDefault="00106125" w:rsidP="00106125">
      <w:pPr>
        <w:jc w:val="both"/>
        <w:rPr>
          <w:rFonts w:ascii="Century Gothic" w:hAnsi="Century Gothic"/>
          <w:color w:val="auto"/>
          <w:lang w:val="es-ES"/>
        </w:rPr>
      </w:pPr>
    </w:p>
    <w:p w14:paraId="170BA39C" w14:textId="77777777" w:rsidR="00106125" w:rsidRPr="007C14D6" w:rsidRDefault="00106125" w:rsidP="00106125">
      <w:pPr>
        <w:jc w:val="both"/>
        <w:rPr>
          <w:rFonts w:ascii="Century Gothic" w:hAnsi="Century Gothic"/>
          <w:color w:val="auto"/>
          <w:lang w:val="es-ES"/>
        </w:rPr>
      </w:pPr>
      <w:r w:rsidRPr="007C14D6">
        <w:rPr>
          <w:rFonts w:ascii="Century Gothic" w:hAnsi="Century Gothic"/>
          <w:b/>
          <w:bCs/>
          <w:color w:val="auto"/>
          <w:lang w:val="es-ES"/>
        </w:rPr>
        <w:t>Baleares (16 €), Extremadura (13,7 €) y País Vasco (15,8 €)</w:t>
      </w:r>
      <w:r w:rsidRPr="007C14D6">
        <w:rPr>
          <w:rFonts w:ascii="Century Gothic" w:hAnsi="Century Gothic"/>
          <w:color w:val="auto"/>
          <w:lang w:val="es-ES"/>
        </w:rPr>
        <w:t>, no han subido el precio del menú del día respecto al año anterior.</w:t>
      </w:r>
    </w:p>
    <w:p w14:paraId="34D27885" w14:textId="77777777" w:rsidR="00106125" w:rsidRPr="007C14D6" w:rsidRDefault="00106125" w:rsidP="00106125">
      <w:pPr>
        <w:jc w:val="both"/>
        <w:rPr>
          <w:rFonts w:ascii="Century Gothic" w:hAnsi="Century Gothic"/>
          <w:color w:val="auto"/>
          <w:lang w:val="es-ES"/>
        </w:rPr>
      </w:pPr>
    </w:p>
    <w:p w14:paraId="3490489A" w14:textId="77777777" w:rsidR="00106125" w:rsidRPr="007C14D6" w:rsidRDefault="00106125" w:rsidP="00106125">
      <w:pPr>
        <w:jc w:val="both"/>
        <w:rPr>
          <w:rFonts w:ascii="Century Gothic" w:hAnsi="Century Gothic"/>
          <w:color w:val="auto"/>
          <w:lang w:val="es-ES"/>
        </w:rPr>
      </w:pPr>
      <w:r w:rsidRPr="007C14D6">
        <w:rPr>
          <w:rFonts w:ascii="Century Gothic" w:hAnsi="Century Gothic"/>
          <w:color w:val="auto"/>
          <w:lang w:val="es-ES"/>
        </w:rPr>
        <w:lastRenderedPageBreak/>
        <w:t>Para</w:t>
      </w:r>
      <w:r w:rsidRPr="007C14D6">
        <w:rPr>
          <w:rFonts w:ascii="Century Gothic" w:hAnsi="Century Gothic"/>
          <w:b/>
          <w:bCs/>
          <w:color w:val="auto"/>
          <w:lang w:val="es-ES"/>
        </w:rPr>
        <w:t xml:space="preserve"> José Luis Álvarez Almeida, presidente de Hostelería de España</w:t>
      </w:r>
      <w:r w:rsidRPr="007C14D6">
        <w:rPr>
          <w:rFonts w:ascii="Century Gothic" w:hAnsi="Century Gothic"/>
          <w:color w:val="auto"/>
          <w:lang w:val="es-ES"/>
        </w:rPr>
        <w:t>, el menú del día “</w:t>
      </w:r>
      <w:r w:rsidRPr="007C14D6">
        <w:rPr>
          <w:rFonts w:ascii="Century Gothic" w:hAnsi="Century Gothic"/>
          <w:i/>
          <w:iCs/>
          <w:color w:val="auto"/>
          <w:lang w:val="es-ES"/>
        </w:rPr>
        <w:t xml:space="preserve">es una propuesta muy arraigada en nuestro país </w:t>
      </w:r>
      <w:r w:rsidRPr="007C14D6">
        <w:rPr>
          <w:rFonts w:ascii="Century Gothic" w:hAnsi="Century Gothic"/>
          <w:b/>
          <w:bCs/>
          <w:i/>
          <w:iCs/>
          <w:color w:val="auto"/>
          <w:lang w:val="es-ES"/>
        </w:rPr>
        <w:t>utilizada diariamente por cientos de miles de personas que acceden a una opción variada, saludable y equilibrada a un precio muy ajustado</w:t>
      </w:r>
      <w:r w:rsidRPr="007C14D6">
        <w:rPr>
          <w:rFonts w:ascii="Century Gothic" w:hAnsi="Century Gothic"/>
          <w:i/>
          <w:iCs/>
          <w:color w:val="auto"/>
          <w:lang w:val="es-ES"/>
        </w:rPr>
        <w:t>. El menú del día, ante la evolución de una sociedad que cada vez cocina menos, también supone un garante de nuestro acerbo culinario y gastronomía típica de cada zona</w:t>
      </w:r>
      <w:r w:rsidRPr="007C14D6">
        <w:rPr>
          <w:rFonts w:ascii="Century Gothic" w:hAnsi="Century Gothic"/>
          <w:color w:val="auto"/>
          <w:lang w:val="es-ES"/>
        </w:rPr>
        <w:t xml:space="preserve">”. </w:t>
      </w:r>
    </w:p>
    <w:p w14:paraId="33F75912" w14:textId="77777777" w:rsidR="00106125" w:rsidRPr="007C14D6" w:rsidRDefault="00106125" w:rsidP="00106125">
      <w:pPr>
        <w:jc w:val="both"/>
        <w:rPr>
          <w:rFonts w:ascii="Century Gothic" w:hAnsi="Century Gothic"/>
          <w:color w:val="auto"/>
          <w:lang w:val="es-ES"/>
        </w:rPr>
      </w:pPr>
    </w:p>
    <w:p w14:paraId="1E3E06E0" w14:textId="77777777" w:rsidR="00106125" w:rsidRPr="007C14D6" w:rsidRDefault="00106125" w:rsidP="00106125">
      <w:pPr>
        <w:jc w:val="both"/>
        <w:rPr>
          <w:rFonts w:ascii="Century Gothic" w:hAnsi="Century Gothic"/>
          <w:b/>
          <w:bCs/>
          <w:i/>
          <w:iCs/>
          <w:color w:val="auto"/>
          <w:lang w:val="es-ES"/>
        </w:rPr>
      </w:pPr>
      <w:r w:rsidRPr="007C14D6">
        <w:rPr>
          <w:rFonts w:ascii="Century Gothic" w:hAnsi="Century Gothic"/>
          <w:color w:val="auto"/>
          <w:lang w:val="es-ES"/>
        </w:rPr>
        <w:t xml:space="preserve">Por su parte, </w:t>
      </w:r>
      <w:r w:rsidRPr="007C14D6">
        <w:rPr>
          <w:rFonts w:ascii="Century Gothic" w:hAnsi="Century Gothic"/>
          <w:b/>
          <w:bCs/>
          <w:color w:val="auto"/>
          <w:lang w:val="es-ES"/>
        </w:rPr>
        <w:t>Cristina Afán, directora de Asuntos Públicos Edenred España</w:t>
      </w:r>
      <w:r w:rsidRPr="007C14D6">
        <w:rPr>
          <w:rFonts w:ascii="Century Gothic" w:hAnsi="Century Gothic"/>
          <w:color w:val="auto"/>
          <w:lang w:val="es-ES"/>
        </w:rPr>
        <w:t xml:space="preserve">, afirma que: </w:t>
      </w:r>
      <w:r w:rsidRPr="007C14D6">
        <w:rPr>
          <w:rFonts w:ascii="Century Gothic" w:hAnsi="Century Gothic"/>
          <w:i/>
          <w:iCs/>
          <w:color w:val="auto"/>
          <w:lang w:val="es-ES"/>
        </w:rPr>
        <w:t xml:space="preserve">“Soluciones como Ticket Restaurant son </w:t>
      </w:r>
      <w:r w:rsidRPr="007C14D6">
        <w:rPr>
          <w:rFonts w:ascii="Century Gothic" w:hAnsi="Century Gothic"/>
          <w:b/>
          <w:bCs/>
          <w:i/>
          <w:iCs/>
          <w:color w:val="auto"/>
          <w:lang w:val="es-ES"/>
        </w:rPr>
        <w:t>un motor para la hostelería española, ya que impulsan el consumo diario en bares y restaurantes locales</w:t>
      </w:r>
      <w:r w:rsidRPr="007C14D6">
        <w:rPr>
          <w:rFonts w:ascii="Century Gothic" w:hAnsi="Century Gothic"/>
          <w:i/>
          <w:iCs/>
          <w:color w:val="auto"/>
          <w:lang w:val="es-ES"/>
        </w:rPr>
        <w:t xml:space="preserve"> y dinamizan un sector clave para la economía del país. Desde Edenred </w:t>
      </w:r>
      <w:r w:rsidRPr="007C14D6">
        <w:rPr>
          <w:rFonts w:ascii="Century Gothic" w:hAnsi="Century Gothic"/>
          <w:b/>
          <w:bCs/>
          <w:i/>
          <w:iCs/>
          <w:color w:val="auto"/>
          <w:lang w:val="es-ES"/>
        </w:rPr>
        <w:t>creemos que ha llegado el momento de actualizar el límite de exención diaria, actualmente fijado en 11 euros, para que esta herramienta siga generando valor.</w:t>
      </w:r>
      <w:r w:rsidRPr="007C14D6">
        <w:rPr>
          <w:rFonts w:ascii="Century Gothic" w:hAnsi="Century Gothic"/>
          <w:i/>
          <w:iCs/>
          <w:color w:val="auto"/>
          <w:lang w:val="es-ES"/>
        </w:rPr>
        <w:t xml:space="preserve"> Su </w:t>
      </w:r>
      <w:r w:rsidRPr="007C14D6">
        <w:rPr>
          <w:rFonts w:ascii="Century Gothic" w:hAnsi="Century Gothic"/>
          <w:b/>
          <w:bCs/>
          <w:i/>
          <w:iCs/>
          <w:color w:val="auto"/>
          <w:lang w:val="es-ES"/>
        </w:rPr>
        <w:t>impacto beneficia a profesionales, hosteleros y también a la Administración Pública, ya que contribuye a mejorar la conciliación, a desestacionalizar la demanda y respalda políticas de bienestar laboral y salud alimentaria.”</w:t>
      </w:r>
    </w:p>
    <w:p w14:paraId="06EC7606" w14:textId="5A40B1F6" w:rsidR="004B6C7F" w:rsidRPr="007C14D6" w:rsidRDefault="004B6C7F" w:rsidP="0005490B">
      <w:pPr>
        <w:jc w:val="both"/>
        <w:rPr>
          <w:rFonts w:ascii="Century Gothic" w:eastAsia="Century Gothic" w:hAnsi="Century Gothic" w:cs="Century Gothic"/>
          <w:b/>
          <w:bCs/>
          <w:color w:val="auto"/>
          <w:lang w:val="es-ES"/>
        </w:rPr>
      </w:pPr>
    </w:p>
    <w:p w14:paraId="66B03CB9" w14:textId="77777777" w:rsidR="004402DC" w:rsidRPr="007C14D6" w:rsidRDefault="004402DC" w:rsidP="004402DC">
      <w:pPr>
        <w:spacing w:line="240" w:lineRule="auto"/>
        <w:jc w:val="both"/>
        <w:rPr>
          <w:b/>
          <w:bCs/>
          <w:color w:val="auto"/>
          <w:lang w:val="es-ES"/>
        </w:rPr>
      </w:pPr>
    </w:p>
    <w:p w14:paraId="1216706F" w14:textId="77777777" w:rsidR="004402DC" w:rsidRPr="007C14D6" w:rsidRDefault="004402DC" w:rsidP="004402DC">
      <w:pPr>
        <w:shd w:val="clear" w:color="auto" w:fill="D9D9D9"/>
        <w:spacing w:line="240" w:lineRule="auto"/>
        <w:ind w:left="142"/>
        <w:jc w:val="center"/>
        <w:rPr>
          <w:rFonts w:ascii="Century Gothic" w:hAnsi="Century Gothic"/>
          <w:b/>
          <w:bCs/>
          <w:color w:val="auto"/>
          <w:lang w:val="es-ES"/>
        </w:rPr>
      </w:pPr>
      <w:r w:rsidRPr="007C14D6">
        <w:rPr>
          <w:rFonts w:ascii="Century Gothic" w:hAnsi="Century Gothic"/>
          <w:b/>
          <w:bCs/>
          <w:color w:val="auto"/>
          <w:lang w:val="es-ES"/>
        </w:rPr>
        <w:t>Precio medio menú del día (en euros) por Comunidades Autónomas 2025</w:t>
      </w:r>
    </w:p>
    <w:p w14:paraId="01E40308" w14:textId="77777777" w:rsidR="004402DC" w:rsidRPr="007C14D6" w:rsidRDefault="004402DC" w:rsidP="004402DC">
      <w:pPr>
        <w:spacing w:line="240" w:lineRule="auto"/>
        <w:jc w:val="both"/>
        <w:rPr>
          <w:rFonts w:ascii="Calibri" w:eastAsia="Calibri" w:hAnsi="Calibri" w:cs="Times New Roman"/>
          <w:color w:val="auto"/>
          <w:sz w:val="24"/>
          <w:szCs w:val="24"/>
          <w:lang w:val="es-ES"/>
        </w:rPr>
      </w:pPr>
    </w:p>
    <w:tbl>
      <w:tblPr>
        <w:tblW w:w="5245" w:type="dxa"/>
        <w:jc w:val="center"/>
        <w:tblLayout w:type="fixed"/>
        <w:tblCellMar>
          <w:left w:w="70" w:type="dxa"/>
          <w:right w:w="70" w:type="dxa"/>
        </w:tblCellMar>
        <w:tblLook w:val="04A0" w:firstRow="1" w:lastRow="0" w:firstColumn="1" w:lastColumn="0" w:noHBand="0" w:noVBand="1"/>
      </w:tblPr>
      <w:tblGrid>
        <w:gridCol w:w="2552"/>
        <w:gridCol w:w="2693"/>
      </w:tblGrid>
      <w:tr w:rsidR="00584EC4" w:rsidRPr="00584EC4" w14:paraId="6E19001A" w14:textId="77777777" w:rsidTr="001A1E02">
        <w:trPr>
          <w:trHeight w:val="302"/>
          <w:jc w:val="center"/>
        </w:trPr>
        <w:tc>
          <w:tcPr>
            <w:tcW w:w="2552" w:type="dxa"/>
            <w:tcBorders>
              <w:top w:val="nil"/>
              <w:left w:val="nil"/>
              <w:bottom w:val="nil"/>
              <w:right w:val="nil"/>
            </w:tcBorders>
            <w:noWrap/>
            <w:vAlign w:val="bottom"/>
            <w:hideMark/>
          </w:tcPr>
          <w:p w14:paraId="2354FFEE" w14:textId="77777777" w:rsidR="004402DC" w:rsidRPr="007C14D6" w:rsidRDefault="004402DC" w:rsidP="001A1E02">
            <w:pPr>
              <w:spacing w:line="240" w:lineRule="auto"/>
              <w:rPr>
                <w:rFonts w:ascii="Century Gothic" w:eastAsia="Times New Roman" w:hAnsi="Century Gothic" w:cs="Calibri"/>
                <w:color w:val="auto"/>
                <w:sz w:val="22"/>
                <w:szCs w:val="22"/>
                <w:lang w:val="es-ES" w:eastAsia="es-ES"/>
              </w:rPr>
            </w:pPr>
          </w:p>
        </w:tc>
        <w:tc>
          <w:tcPr>
            <w:tcW w:w="2693" w:type="dxa"/>
            <w:tcBorders>
              <w:top w:val="nil"/>
              <w:left w:val="nil"/>
              <w:bottom w:val="single" w:sz="4" w:space="0" w:color="auto"/>
              <w:right w:val="nil"/>
            </w:tcBorders>
          </w:tcPr>
          <w:p w14:paraId="0EEB25E2" w14:textId="77777777" w:rsidR="004402DC" w:rsidRPr="00584EC4" w:rsidRDefault="004402DC" w:rsidP="001A1E02">
            <w:pPr>
              <w:spacing w:line="240" w:lineRule="auto"/>
              <w:jc w:val="center"/>
              <w:rPr>
                <w:rFonts w:ascii="Century Gothic" w:eastAsia="Times New Roman" w:hAnsi="Century Gothic" w:cs="Calibri"/>
                <w:b/>
                <w:bCs/>
                <w:color w:val="auto"/>
                <w:sz w:val="22"/>
                <w:szCs w:val="22"/>
                <w:lang w:eastAsia="es-ES"/>
              </w:rPr>
            </w:pPr>
            <w:r w:rsidRPr="007C14D6">
              <w:rPr>
                <w:rFonts w:ascii="Century Gothic" w:eastAsia="Times New Roman" w:hAnsi="Century Gothic" w:cs="Calibri"/>
                <w:b/>
                <w:bCs/>
                <w:color w:val="auto"/>
                <w:sz w:val="22"/>
                <w:szCs w:val="22"/>
                <w:lang w:val="es-ES" w:eastAsia="es-ES"/>
              </w:rPr>
              <w:br/>
            </w:r>
            <w:r w:rsidRPr="00584EC4">
              <w:rPr>
                <w:rFonts w:ascii="Century Gothic" w:eastAsia="Times New Roman" w:hAnsi="Century Gothic" w:cs="Calibri"/>
                <w:b/>
                <w:bCs/>
                <w:color w:val="auto"/>
                <w:sz w:val="22"/>
                <w:szCs w:val="22"/>
                <w:lang w:eastAsia="es-ES"/>
              </w:rPr>
              <w:t>2025</w:t>
            </w:r>
          </w:p>
        </w:tc>
      </w:tr>
      <w:tr w:rsidR="00584EC4" w:rsidRPr="00584EC4" w14:paraId="29D671AC" w14:textId="77777777" w:rsidTr="001A1E02">
        <w:trPr>
          <w:trHeight w:val="130"/>
          <w:jc w:val="center"/>
        </w:trPr>
        <w:tc>
          <w:tcPr>
            <w:tcW w:w="2552" w:type="dxa"/>
            <w:tcBorders>
              <w:top w:val="nil"/>
              <w:left w:val="nil"/>
              <w:bottom w:val="single" w:sz="4" w:space="0" w:color="auto"/>
              <w:right w:val="nil"/>
            </w:tcBorders>
            <w:noWrap/>
            <w:vAlign w:val="center"/>
            <w:hideMark/>
          </w:tcPr>
          <w:p w14:paraId="5025DDB4"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proofErr w:type="spellStart"/>
            <w:r w:rsidRPr="00584EC4">
              <w:rPr>
                <w:rFonts w:ascii="Century Gothic" w:eastAsia="Times New Roman" w:hAnsi="Century Gothic" w:cs="Calibri"/>
                <w:b/>
                <w:bCs/>
                <w:color w:val="auto"/>
                <w:sz w:val="22"/>
                <w:szCs w:val="22"/>
                <w:lang w:eastAsia="es-ES"/>
              </w:rPr>
              <w:t>Andalucía</w:t>
            </w:r>
            <w:proofErr w:type="spellEnd"/>
          </w:p>
        </w:tc>
        <w:tc>
          <w:tcPr>
            <w:tcW w:w="2693" w:type="dxa"/>
            <w:tcBorders>
              <w:top w:val="single" w:sz="4" w:space="0" w:color="auto"/>
              <w:bottom w:val="single" w:sz="4" w:space="0" w:color="auto"/>
            </w:tcBorders>
          </w:tcPr>
          <w:p w14:paraId="57B730C2"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13,4</w:t>
            </w:r>
          </w:p>
        </w:tc>
      </w:tr>
      <w:tr w:rsidR="00584EC4" w:rsidRPr="00584EC4" w14:paraId="2E349AF9"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22D39C3E"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Aragón</w:t>
            </w:r>
          </w:p>
        </w:tc>
        <w:tc>
          <w:tcPr>
            <w:tcW w:w="2693" w:type="dxa"/>
            <w:tcBorders>
              <w:top w:val="single" w:sz="4" w:space="0" w:color="auto"/>
              <w:bottom w:val="single" w:sz="4" w:space="0" w:color="auto"/>
            </w:tcBorders>
          </w:tcPr>
          <w:p w14:paraId="2B1DB850"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13,9</w:t>
            </w:r>
          </w:p>
        </w:tc>
      </w:tr>
      <w:tr w:rsidR="00584EC4" w:rsidRPr="00584EC4" w14:paraId="74F2C82C"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332A07FE"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proofErr w:type="spellStart"/>
            <w:r w:rsidRPr="00584EC4">
              <w:rPr>
                <w:rFonts w:ascii="Century Gothic" w:eastAsia="Times New Roman" w:hAnsi="Century Gothic" w:cs="Calibri"/>
                <w:b/>
                <w:bCs/>
                <w:color w:val="auto"/>
                <w:sz w:val="22"/>
                <w:szCs w:val="22"/>
                <w:lang w:eastAsia="es-ES"/>
              </w:rPr>
              <w:t>Asturias</w:t>
            </w:r>
            <w:proofErr w:type="spellEnd"/>
          </w:p>
        </w:tc>
        <w:tc>
          <w:tcPr>
            <w:tcW w:w="2693" w:type="dxa"/>
            <w:tcBorders>
              <w:top w:val="single" w:sz="4" w:space="0" w:color="auto"/>
              <w:bottom w:val="single" w:sz="4" w:space="0" w:color="auto"/>
            </w:tcBorders>
          </w:tcPr>
          <w:p w14:paraId="6E816453"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13,2</w:t>
            </w:r>
          </w:p>
        </w:tc>
      </w:tr>
      <w:tr w:rsidR="00584EC4" w:rsidRPr="00584EC4" w14:paraId="6816D75E"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20F64249"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proofErr w:type="spellStart"/>
            <w:r w:rsidRPr="00584EC4">
              <w:rPr>
                <w:rFonts w:ascii="Century Gothic" w:eastAsia="Times New Roman" w:hAnsi="Century Gothic" w:cs="Calibri"/>
                <w:b/>
                <w:bCs/>
                <w:color w:val="auto"/>
                <w:sz w:val="22"/>
                <w:szCs w:val="22"/>
                <w:lang w:eastAsia="es-ES"/>
              </w:rPr>
              <w:t>Baleares</w:t>
            </w:r>
            <w:proofErr w:type="spellEnd"/>
          </w:p>
        </w:tc>
        <w:tc>
          <w:tcPr>
            <w:tcW w:w="2693" w:type="dxa"/>
            <w:tcBorders>
              <w:top w:val="single" w:sz="4" w:space="0" w:color="auto"/>
              <w:bottom w:val="single" w:sz="4" w:space="0" w:color="auto"/>
            </w:tcBorders>
          </w:tcPr>
          <w:p w14:paraId="2259BF91"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16,0</w:t>
            </w:r>
          </w:p>
        </w:tc>
      </w:tr>
      <w:tr w:rsidR="00584EC4" w:rsidRPr="00584EC4" w14:paraId="7AE8CA30"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4F512C1B"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proofErr w:type="spellStart"/>
            <w:r w:rsidRPr="00584EC4">
              <w:rPr>
                <w:rFonts w:ascii="Century Gothic" w:eastAsia="Times New Roman" w:hAnsi="Century Gothic" w:cs="Calibri"/>
                <w:b/>
                <w:bCs/>
                <w:color w:val="auto"/>
                <w:sz w:val="22"/>
                <w:szCs w:val="22"/>
                <w:lang w:eastAsia="es-ES"/>
              </w:rPr>
              <w:t>Canarias</w:t>
            </w:r>
            <w:proofErr w:type="spellEnd"/>
          </w:p>
        </w:tc>
        <w:tc>
          <w:tcPr>
            <w:tcW w:w="2693" w:type="dxa"/>
            <w:tcBorders>
              <w:top w:val="single" w:sz="4" w:space="0" w:color="auto"/>
              <w:bottom w:val="single" w:sz="4" w:space="0" w:color="auto"/>
            </w:tcBorders>
          </w:tcPr>
          <w:p w14:paraId="7815E46B"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13,0</w:t>
            </w:r>
          </w:p>
        </w:tc>
      </w:tr>
      <w:tr w:rsidR="00584EC4" w:rsidRPr="00584EC4" w14:paraId="7343BBA2"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4FA1943D"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proofErr w:type="spellStart"/>
            <w:r w:rsidRPr="00584EC4">
              <w:rPr>
                <w:rFonts w:ascii="Century Gothic" w:eastAsia="Times New Roman" w:hAnsi="Century Gothic" w:cs="Calibri"/>
                <w:b/>
                <w:bCs/>
                <w:color w:val="auto"/>
                <w:sz w:val="22"/>
                <w:szCs w:val="22"/>
                <w:lang w:eastAsia="es-ES"/>
              </w:rPr>
              <w:t>Cantabria</w:t>
            </w:r>
            <w:proofErr w:type="spellEnd"/>
          </w:p>
        </w:tc>
        <w:tc>
          <w:tcPr>
            <w:tcW w:w="2693" w:type="dxa"/>
            <w:tcBorders>
              <w:top w:val="single" w:sz="4" w:space="0" w:color="auto"/>
              <w:bottom w:val="single" w:sz="4" w:space="0" w:color="auto"/>
            </w:tcBorders>
          </w:tcPr>
          <w:p w14:paraId="04C0CB4B"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13,8</w:t>
            </w:r>
          </w:p>
        </w:tc>
      </w:tr>
      <w:tr w:rsidR="00584EC4" w:rsidRPr="00584EC4" w14:paraId="05ABE254"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08822952"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Castilla y León</w:t>
            </w:r>
          </w:p>
        </w:tc>
        <w:tc>
          <w:tcPr>
            <w:tcW w:w="2693" w:type="dxa"/>
            <w:tcBorders>
              <w:top w:val="single" w:sz="4" w:space="0" w:color="auto"/>
              <w:bottom w:val="single" w:sz="4" w:space="0" w:color="auto"/>
            </w:tcBorders>
          </w:tcPr>
          <w:p w14:paraId="0477DED2"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14,3</w:t>
            </w:r>
          </w:p>
        </w:tc>
      </w:tr>
      <w:tr w:rsidR="00584EC4" w:rsidRPr="00584EC4" w14:paraId="1BD6B13E"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2E16614C"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Castilla - La Mancha</w:t>
            </w:r>
          </w:p>
        </w:tc>
        <w:tc>
          <w:tcPr>
            <w:tcW w:w="2693" w:type="dxa"/>
            <w:tcBorders>
              <w:top w:val="single" w:sz="4" w:space="0" w:color="auto"/>
              <w:bottom w:val="single" w:sz="4" w:space="0" w:color="auto"/>
            </w:tcBorders>
          </w:tcPr>
          <w:p w14:paraId="2B9F5D9A"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13,6</w:t>
            </w:r>
          </w:p>
        </w:tc>
      </w:tr>
      <w:tr w:rsidR="00584EC4" w:rsidRPr="00584EC4" w14:paraId="3FC7A686"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165A5844"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proofErr w:type="spellStart"/>
            <w:r w:rsidRPr="00584EC4">
              <w:rPr>
                <w:rFonts w:ascii="Century Gothic" w:eastAsia="Times New Roman" w:hAnsi="Century Gothic" w:cs="Calibri"/>
                <w:b/>
                <w:bCs/>
                <w:color w:val="auto"/>
                <w:sz w:val="22"/>
                <w:szCs w:val="22"/>
                <w:lang w:eastAsia="es-ES"/>
              </w:rPr>
              <w:t>Cataluña</w:t>
            </w:r>
            <w:proofErr w:type="spellEnd"/>
          </w:p>
        </w:tc>
        <w:tc>
          <w:tcPr>
            <w:tcW w:w="2693" w:type="dxa"/>
            <w:tcBorders>
              <w:top w:val="single" w:sz="4" w:space="0" w:color="auto"/>
              <w:bottom w:val="single" w:sz="4" w:space="0" w:color="auto"/>
            </w:tcBorders>
          </w:tcPr>
          <w:p w14:paraId="22F8D9C9"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15,4</w:t>
            </w:r>
          </w:p>
        </w:tc>
      </w:tr>
      <w:tr w:rsidR="00584EC4" w:rsidRPr="00584EC4" w14:paraId="66BBA671"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694C267D"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Com. de Madrid</w:t>
            </w:r>
          </w:p>
        </w:tc>
        <w:tc>
          <w:tcPr>
            <w:tcW w:w="2693" w:type="dxa"/>
            <w:tcBorders>
              <w:top w:val="single" w:sz="4" w:space="0" w:color="auto"/>
              <w:bottom w:val="single" w:sz="4" w:space="0" w:color="auto"/>
            </w:tcBorders>
          </w:tcPr>
          <w:p w14:paraId="296D7203"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14,5</w:t>
            </w:r>
          </w:p>
        </w:tc>
      </w:tr>
      <w:tr w:rsidR="00584EC4" w:rsidRPr="00584EC4" w14:paraId="1756D1A5"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47ED3696"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 xml:space="preserve">Com. </w:t>
            </w:r>
            <w:proofErr w:type="spellStart"/>
            <w:r w:rsidRPr="00584EC4">
              <w:rPr>
                <w:rFonts w:ascii="Century Gothic" w:eastAsia="Times New Roman" w:hAnsi="Century Gothic" w:cs="Calibri"/>
                <w:b/>
                <w:bCs/>
                <w:color w:val="auto"/>
                <w:sz w:val="22"/>
                <w:szCs w:val="22"/>
                <w:lang w:eastAsia="es-ES"/>
              </w:rPr>
              <w:t>Valenciana</w:t>
            </w:r>
            <w:proofErr w:type="spellEnd"/>
          </w:p>
        </w:tc>
        <w:tc>
          <w:tcPr>
            <w:tcW w:w="2693" w:type="dxa"/>
            <w:tcBorders>
              <w:top w:val="single" w:sz="4" w:space="0" w:color="auto"/>
              <w:bottom w:val="single" w:sz="4" w:space="0" w:color="auto"/>
            </w:tcBorders>
          </w:tcPr>
          <w:p w14:paraId="7253E3CB"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15,2</w:t>
            </w:r>
          </w:p>
        </w:tc>
      </w:tr>
      <w:tr w:rsidR="00584EC4" w:rsidRPr="00584EC4" w14:paraId="249A23A9"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78B553D2"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Extremadura</w:t>
            </w:r>
          </w:p>
        </w:tc>
        <w:tc>
          <w:tcPr>
            <w:tcW w:w="2693" w:type="dxa"/>
            <w:tcBorders>
              <w:top w:val="single" w:sz="4" w:space="0" w:color="auto"/>
              <w:bottom w:val="single" w:sz="4" w:space="0" w:color="auto"/>
            </w:tcBorders>
          </w:tcPr>
          <w:p w14:paraId="5F5D97EC"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13,7</w:t>
            </w:r>
          </w:p>
        </w:tc>
      </w:tr>
      <w:tr w:rsidR="00584EC4" w:rsidRPr="00584EC4" w14:paraId="0ED2DEB5"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4856C596"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Galicia</w:t>
            </w:r>
          </w:p>
        </w:tc>
        <w:tc>
          <w:tcPr>
            <w:tcW w:w="2693" w:type="dxa"/>
            <w:tcBorders>
              <w:top w:val="single" w:sz="4" w:space="0" w:color="auto"/>
              <w:bottom w:val="single" w:sz="4" w:space="0" w:color="auto"/>
            </w:tcBorders>
          </w:tcPr>
          <w:p w14:paraId="43E6F85D"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13,5</w:t>
            </w:r>
          </w:p>
        </w:tc>
      </w:tr>
      <w:tr w:rsidR="00584EC4" w:rsidRPr="00584EC4" w14:paraId="56D06BD1"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4AB66DD7"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Murcia</w:t>
            </w:r>
          </w:p>
        </w:tc>
        <w:tc>
          <w:tcPr>
            <w:tcW w:w="2693" w:type="dxa"/>
            <w:tcBorders>
              <w:top w:val="single" w:sz="4" w:space="0" w:color="auto"/>
              <w:bottom w:val="single" w:sz="4" w:space="0" w:color="auto"/>
            </w:tcBorders>
          </w:tcPr>
          <w:p w14:paraId="53A0B1C3"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13,4</w:t>
            </w:r>
          </w:p>
        </w:tc>
      </w:tr>
      <w:tr w:rsidR="00584EC4" w:rsidRPr="00584EC4" w14:paraId="6DB3CAD8"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14C512EF"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proofErr w:type="spellStart"/>
            <w:r w:rsidRPr="00584EC4">
              <w:rPr>
                <w:rFonts w:ascii="Century Gothic" w:eastAsia="Times New Roman" w:hAnsi="Century Gothic" w:cs="Calibri"/>
                <w:b/>
                <w:bCs/>
                <w:color w:val="auto"/>
                <w:sz w:val="22"/>
                <w:szCs w:val="22"/>
                <w:lang w:eastAsia="es-ES"/>
              </w:rPr>
              <w:t>Navarra</w:t>
            </w:r>
            <w:proofErr w:type="spellEnd"/>
          </w:p>
        </w:tc>
        <w:tc>
          <w:tcPr>
            <w:tcW w:w="2693" w:type="dxa"/>
            <w:tcBorders>
              <w:top w:val="single" w:sz="4" w:space="0" w:color="auto"/>
              <w:bottom w:val="single" w:sz="4" w:space="0" w:color="auto"/>
            </w:tcBorders>
          </w:tcPr>
          <w:p w14:paraId="677424C7"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14,9</w:t>
            </w:r>
          </w:p>
        </w:tc>
      </w:tr>
      <w:tr w:rsidR="00584EC4" w:rsidRPr="00584EC4" w14:paraId="34743922"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2579B788"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País Vasco</w:t>
            </w:r>
          </w:p>
        </w:tc>
        <w:tc>
          <w:tcPr>
            <w:tcW w:w="2693" w:type="dxa"/>
            <w:tcBorders>
              <w:top w:val="single" w:sz="4" w:space="0" w:color="auto"/>
              <w:bottom w:val="single" w:sz="4" w:space="0" w:color="auto"/>
            </w:tcBorders>
          </w:tcPr>
          <w:p w14:paraId="4982A802"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15,8</w:t>
            </w:r>
          </w:p>
        </w:tc>
      </w:tr>
      <w:tr w:rsidR="00584EC4" w:rsidRPr="00584EC4" w14:paraId="1F5E9906" w14:textId="77777777" w:rsidTr="001A1E02">
        <w:trPr>
          <w:trHeight w:val="287"/>
          <w:jc w:val="center"/>
        </w:trPr>
        <w:tc>
          <w:tcPr>
            <w:tcW w:w="2552" w:type="dxa"/>
            <w:tcBorders>
              <w:top w:val="single" w:sz="4" w:space="0" w:color="auto"/>
              <w:left w:val="nil"/>
              <w:bottom w:val="single" w:sz="4" w:space="0" w:color="auto"/>
              <w:right w:val="nil"/>
            </w:tcBorders>
            <w:noWrap/>
            <w:vAlign w:val="center"/>
            <w:hideMark/>
          </w:tcPr>
          <w:p w14:paraId="69C0901C" w14:textId="77777777" w:rsidR="004402DC" w:rsidRPr="00584EC4" w:rsidRDefault="004402DC" w:rsidP="001A1E02">
            <w:pPr>
              <w:spacing w:line="240" w:lineRule="auto"/>
              <w:rPr>
                <w:rFonts w:ascii="Century Gothic" w:eastAsia="Times New Roman" w:hAnsi="Century Gothic" w:cs="Calibri"/>
                <w:b/>
                <w:bCs/>
                <w:color w:val="auto"/>
                <w:sz w:val="22"/>
                <w:szCs w:val="22"/>
                <w:lang w:eastAsia="es-ES"/>
              </w:rPr>
            </w:pPr>
            <w:r w:rsidRPr="00584EC4">
              <w:rPr>
                <w:rFonts w:ascii="Century Gothic" w:eastAsia="Times New Roman" w:hAnsi="Century Gothic" w:cs="Calibri"/>
                <w:b/>
                <w:bCs/>
                <w:color w:val="auto"/>
                <w:sz w:val="22"/>
                <w:szCs w:val="22"/>
                <w:lang w:eastAsia="es-ES"/>
              </w:rPr>
              <w:t xml:space="preserve">La Rioja </w:t>
            </w:r>
          </w:p>
        </w:tc>
        <w:tc>
          <w:tcPr>
            <w:tcW w:w="2693" w:type="dxa"/>
            <w:tcBorders>
              <w:top w:val="single" w:sz="4" w:space="0" w:color="auto"/>
              <w:bottom w:val="single" w:sz="4" w:space="0" w:color="auto"/>
            </w:tcBorders>
          </w:tcPr>
          <w:p w14:paraId="1B657C4F" w14:textId="77777777" w:rsidR="004402DC" w:rsidRPr="00584EC4" w:rsidRDefault="004402DC" w:rsidP="001A1E02">
            <w:pPr>
              <w:spacing w:line="240" w:lineRule="auto"/>
              <w:jc w:val="center"/>
              <w:rPr>
                <w:rFonts w:ascii="Century Gothic" w:eastAsia="Times New Roman" w:hAnsi="Century Gothic" w:cs="Calibri"/>
                <w:color w:val="auto"/>
                <w:sz w:val="22"/>
                <w:szCs w:val="22"/>
                <w:lang w:eastAsia="es-ES"/>
              </w:rPr>
            </w:pPr>
            <w:r w:rsidRPr="00584EC4">
              <w:rPr>
                <w:rFonts w:ascii="Century Gothic" w:eastAsia="Calibri" w:hAnsi="Century Gothic" w:cs="Times New Roman"/>
                <w:color w:val="auto"/>
                <w:sz w:val="22"/>
                <w:szCs w:val="22"/>
              </w:rPr>
              <w:t>14,1</w:t>
            </w:r>
          </w:p>
        </w:tc>
      </w:tr>
      <w:tr w:rsidR="004402DC" w:rsidRPr="00584EC4" w14:paraId="38C43A2F" w14:textId="77777777" w:rsidTr="001A1E02">
        <w:trPr>
          <w:trHeight w:val="287"/>
          <w:jc w:val="center"/>
        </w:trPr>
        <w:tc>
          <w:tcPr>
            <w:tcW w:w="2552" w:type="dxa"/>
            <w:tcBorders>
              <w:top w:val="single" w:sz="4" w:space="0" w:color="auto"/>
              <w:left w:val="nil"/>
              <w:bottom w:val="single" w:sz="4" w:space="0" w:color="auto"/>
              <w:right w:val="nil"/>
            </w:tcBorders>
            <w:noWrap/>
            <w:vAlign w:val="center"/>
          </w:tcPr>
          <w:p w14:paraId="0B21491C" w14:textId="77777777" w:rsidR="004402DC" w:rsidRPr="00584EC4" w:rsidRDefault="004402DC" w:rsidP="001A1E02">
            <w:pPr>
              <w:spacing w:line="240" w:lineRule="auto"/>
              <w:rPr>
                <w:rFonts w:ascii="Century Gothic" w:eastAsia="Times New Roman" w:hAnsi="Century Gothic" w:cs="Calibri"/>
                <w:color w:val="auto"/>
                <w:sz w:val="22"/>
                <w:szCs w:val="22"/>
                <w:lang w:eastAsia="es-ES"/>
              </w:rPr>
            </w:pPr>
          </w:p>
        </w:tc>
        <w:tc>
          <w:tcPr>
            <w:tcW w:w="2693" w:type="dxa"/>
            <w:tcBorders>
              <w:top w:val="single" w:sz="4" w:space="0" w:color="auto"/>
              <w:bottom w:val="single" w:sz="4" w:space="0" w:color="auto"/>
            </w:tcBorders>
          </w:tcPr>
          <w:p w14:paraId="16FE670E" w14:textId="77777777" w:rsidR="004402DC" w:rsidRPr="00584EC4" w:rsidRDefault="004402DC" w:rsidP="004402DC">
            <w:pPr>
              <w:spacing w:line="240" w:lineRule="auto"/>
              <w:rPr>
                <w:rFonts w:ascii="Century Gothic" w:eastAsia="Calibri" w:hAnsi="Century Gothic" w:cs="Times New Roman"/>
                <w:color w:val="auto"/>
                <w:sz w:val="22"/>
                <w:szCs w:val="22"/>
              </w:rPr>
            </w:pPr>
          </w:p>
        </w:tc>
      </w:tr>
    </w:tbl>
    <w:p w14:paraId="3197A3D7" w14:textId="77777777" w:rsidR="001509D5" w:rsidRPr="00584EC4" w:rsidRDefault="001509D5" w:rsidP="0005490B">
      <w:pPr>
        <w:jc w:val="both"/>
        <w:rPr>
          <w:rFonts w:ascii="Century Gothic" w:eastAsia="Century Gothic" w:hAnsi="Century Gothic" w:cs="Century Gothic"/>
          <w:b/>
          <w:bCs/>
          <w:color w:val="auto"/>
        </w:rPr>
      </w:pPr>
    </w:p>
    <w:p w14:paraId="5900CA33" w14:textId="77777777" w:rsidR="004402DC" w:rsidRPr="00584EC4" w:rsidRDefault="004402DC" w:rsidP="0005490B">
      <w:pPr>
        <w:jc w:val="both"/>
        <w:rPr>
          <w:rFonts w:ascii="Century Gothic" w:eastAsia="Century Gothic" w:hAnsi="Century Gothic" w:cs="Century Gothic"/>
          <w:b/>
          <w:bCs/>
          <w:color w:val="auto"/>
        </w:rPr>
      </w:pPr>
    </w:p>
    <w:p w14:paraId="29E45D9B" w14:textId="77777777" w:rsidR="004402DC" w:rsidRDefault="004402DC" w:rsidP="0005490B">
      <w:pPr>
        <w:jc w:val="both"/>
        <w:rPr>
          <w:rFonts w:ascii="Century Gothic" w:eastAsia="Century Gothic" w:hAnsi="Century Gothic" w:cs="Century Gothic"/>
          <w:b/>
          <w:bCs/>
          <w:color w:val="000000"/>
        </w:rPr>
      </w:pPr>
    </w:p>
    <w:p w14:paraId="2F3ECD75" w14:textId="77777777" w:rsidR="004402DC" w:rsidRDefault="004402DC" w:rsidP="0005490B">
      <w:pPr>
        <w:jc w:val="both"/>
        <w:rPr>
          <w:rFonts w:ascii="Century Gothic" w:eastAsia="Century Gothic" w:hAnsi="Century Gothic" w:cs="Century Gothic"/>
          <w:b/>
          <w:bCs/>
          <w:color w:val="000000"/>
        </w:rPr>
      </w:pPr>
    </w:p>
    <w:p w14:paraId="5CC859A3" w14:textId="77777777" w:rsidR="004402DC" w:rsidRDefault="004402DC" w:rsidP="0005490B">
      <w:pPr>
        <w:jc w:val="both"/>
        <w:rPr>
          <w:rFonts w:ascii="Century Gothic" w:eastAsia="Century Gothic" w:hAnsi="Century Gothic" w:cs="Century Gothic"/>
          <w:b/>
          <w:bCs/>
          <w:color w:val="000000"/>
        </w:rPr>
      </w:pPr>
    </w:p>
    <w:p w14:paraId="2A62F40B" w14:textId="77777777" w:rsidR="004402DC" w:rsidRDefault="004402DC" w:rsidP="0005490B">
      <w:pPr>
        <w:jc w:val="both"/>
        <w:rPr>
          <w:rFonts w:ascii="Century Gothic" w:eastAsia="Century Gothic" w:hAnsi="Century Gothic" w:cs="Century Gothic"/>
          <w:b/>
          <w:bCs/>
          <w:color w:val="000000"/>
        </w:rPr>
      </w:pPr>
    </w:p>
    <w:p w14:paraId="7696CC21" w14:textId="77777777" w:rsidR="004402DC" w:rsidRDefault="004402DC" w:rsidP="0005490B">
      <w:pPr>
        <w:jc w:val="both"/>
        <w:rPr>
          <w:rFonts w:ascii="Century Gothic" w:eastAsia="Century Gothic" w:hAnsi="Century Gothic" w:cs="Century Gothic"/>
          <w:b/>
          <w:bCs/>
          <w:color w:val="000000"/>
        </w:rPr>
      </w:pPr>
    </w:p>
    <w:p w14:paraId="3DD53300" w14:textId="77777777" w:rsidR="004402DC" w:rsidRDefault="004402DC" w:rsidP="0005490B">
      <w:pPr>
        <w:jc w:val="both"/>
        <w:rPr>
          <w:rFonts w:ascii="Century Gothic" w:eastAsia="Century Gothic" w:hAnsi="Century Gothic" w:cs="Century Gothic"/>
          <w:b/>
          <w:bCs/>
          <w:color w:val="000000"/>
        </w:rPr>
      </w:pPr>
    </w:p>
    <w:p w14:paraId="584D7BF0" w14:textId="77777777" w:rsidR="004402DC" w:rsidRDefault="004402DC" w:rsidP="0005490B">
      <w:pPr>
        <w:jc w:val="both"/>
        <w:rPr>
          <w:rFonts w:ascii="Century Gothic" w:eastAsia="Century Gothic" w:hAnsi="Century Gothic" w:cs="Century Gothic"/>
          <w:b/>
          <w:bCs/>
          <w:color w:val="000000"/>
        </w:rPr>
      </w:pPr>
    </w:p>
    <w:p w14:paraId="0B4B9D80" w14:textId="77777777" w:rsidR="004402DC" w:rsidRDefault="004402DC" w:rsidP="0005490B">
      <w:pPr>
        <w:jc w:val="both"/>
        <w:rPr>
          <w:rFonts w:ascii="Century Gothic" w:eastAsia="Century Gothic" w:hAnsi="Century Gothic" w:cs="Century Gothic"/>
          <w:b/>
          <w:bCs/>
          <w:color w:val="000000"/>
        </w:rPr>
      </w:pPr>
    </w:p>
    <w:p w14:paraId="045D770A" w14:textId="77777777" w:rsidR="004402DC" w:rsidRPr="0005490B" w:rsidRDefault="004402DC" w:rsidP="0005490B">
      <w:pPr>
        <w:jc w:val="both"/>
        <w:rPr>
          <w:rFonts w:ascii="Century Gothic" w:eastAsia="Century Gothic" w:hAnsi="Century Gothic" w:cs="Century Gothic"/>
          <w:b/>
          <w:bCs/>
          <w:color w:val="000000"/>
        </w:rPr>
      </w:pPr>
    </w:p>
    <w:p w14:paraId="51E74DA8" w14:textId="350A9506" w:rsidR="0034131E" w:rsidRPr="00833D4F" w:rsidRDefault="00E660F9">
      <w:pPr>
        <w:jc w:val="both"/>
        <w:rPr>
          <w:rFonts w:ascii="Century Gothic" w:eastAsia="Century Gothic" w:hAnsi="Century Gothic" w:cs="Century Gothic"/>
          <w:color w:val="000000"/>
          <w:lang w:val="es-ES"/>
        </w:rPr>
      </w:pPr>
      <w:r w:rsidRPr="00833D4F">
        <w:rPr>
          <w:rFonts w:ascii="Century Gothic" w:eastAsia="Century Gothic" w:hAnsi="Century Gothic" w:cs="Century Gothic"/>
          <w:color w:val="000000"/>
          <w:lang w:val="es-ES"/>
        </w:rPr>
        <w:lastRenderedPageBreak/>
        <w:t>▬▬</w:t>
      </w:r>
    </w:p>
    <w:p w14:paraId="319B1527" w14:textId="77777777" w:rsidR="0034131E" w:rsidRPr="00833D4F" w:rsidRDefault="0034131E">
      <w:pPr>
        <w:jc w:val="both"/>
        <w:rPr>
          <w:rFonts w:ascii="Century Gothic" w:eastAsia="Century Gothic" w:hAnsi="Century Gothic" w:cs="Century Gothic"/>
          <w:lang w:val="es-ES"/>
        </w:rPr>
      </w:pPr>
    </w:p>
    <w:p w14:paraId="25873AF5" w14:textId="77777777" w:rsidR="0034131E" w:rsidRPr="00833D4F" w:rsidRDefault="00E660F9">
      <w:pPr>
        <w:jc w:val="both"/>
        <w:rPr>
          <w:lang w:val="es-ES"/>
        </w:rPr>
      </w:pPr>
      <w:r w:rsidRPr="00833D4F">
        <w:rPr>
          <w:rFonts w:ascii="Century Gothic" w:eastAsia="Century Gothic" w:hAnsi="Century Gothic" w:cs="Century Gothic"/>
          <w:b/>
          <w:color w:val="000000"/>
          <w:sz w:val="18"/>
          <w:szCs w:val="18"/>
          <w:lang w:val="es-ES"/>
        </w:rPr>
        <w:t>Sobre Edenred</w:t>
      </w:r>
    </w:p>
    <w:p w14:paraId="4FED8EE9"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lang w:val="es-ES"/>
        </w:rPr>
      </w:pPr>
    </w:p>
    <w:p w14:paraId="67906C8A" w14:textId="77777777" w:rsidR="0034131E" w:rsidRPr="00833D4F" w:rsidRDefault="00E660F9">
      <w:pPr>
        <w:pBdr>
          <w:top w:val="nil"/>
          <w:left w:val="nil"/>
          <w:bottom w:val="nil"/>
          <w:right w:val="nil"/>
          <w:between w:val="nil"/>
        </w:pBdr>
        <w:spacing w:line="254" w:lineRule="auto"/>
        <w:jc w:val="both"/>
        <w:rPr>
          <w:rFonts w:ascii="Century Gothic" w:eastAsia="Century Gothic" w:hAnsi="Century Gothic" w:cs="Century Gothic"/>
          <w:color w:val="000000"/>
          <w:lang w:val="es-ES"/>
        </w:rPr>
      </w:pPr>
      <w:r w:rsidRPr="00833D4F">
        <w:rPr>
          <w:rFonts w:ascii="Century Gothic" w:eastAsia="Century Gothic" w:hAnsi="Century Gothic" w:cs="Century Gothic"/>
          <w:b/>
          <w:color w:val="000000"/>
          <w:sz w:val="18"/>
          <w:szCs w:val="18"/>
          <w:lang w:val="es-ES"/>
        </w:rPr>
        <w:t>Edenred</w:t>
      </w:r>
      <w:r w:rsidRPr="00833D4F">
        <w:rPr>
          <w:rFonts w:ascii="Century Gothic" w:eastAsia="Century Gothic" w:hAnsi="Century Gothic" w:cs="Century Gothic"/>
          <w:color w:val="000000"/>
          <w:sz w:val="18"/>
          <w:szCs w:val="18"/>
          <w:lang w:val="es-ES"/>
        </w:rPr>
        <w:t xml:space="preserve"> es una plataforma digital líder en servicios y pagos, que actúa como el compañero diario de las personas en el trabajo, facilitando la conexión entre más de 60 millones de usuarios y 2 millones de comercios asociados en 45 países, a través de 1 millón de clientes corporativos. </w:t>
      </w:r>
    </w:p>
    <w:p w14:paraId="2AA0D98E"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77C6D3E1" w14:textId="77777777" w:rsidR="0034131E" w:rsidRPr="00833D4F" w:rsidRDefault="00E660F9">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833D4F">
        <w:rPr>
          <w:rFonts w:ascii="Century Gothic" w:eastAsia="Century Gothic" w:hAnsi="Century Gothic" w:cs="Century Gothic"/>
          <w:color w:val="000000"/>
          <w:sz w:val="18"/>
          <w:szCs w:val="18"/>
          <w:lang w:val="es-ES"/>
        </w:rPr>
        <w:t>Su oferta se basa en soluciones de pago de propósito específico, diseñadas para mejorar la experiencia laboral y la eficiencia empresarial. En el ámbito de la alimentación, Edenred ofrece beneficios como tarjetas de comida y vales de alimentos, que facilitan el acceso a opciones más saludables. En el área de compromiso y bienestar, proporciona soluciones como tarjetas regalo y plataformas de incentivos, que refuerzan la motivación y fidelización del talento. En movilidad, facilita el acceso a soluciones multimodales, incluyendo carga de vehículos eléctricos, mantenimiento, peajes y estacionamiento, contribuyendo a un entorno de transporte más sostenible. Finalmente, en pagos corporativos, ofrece herramientas como tarjetas virtuales, que optimizan la gestión financiera y simplifican las transacciones empresariales.</w:t>
      </w:r>
    </w:p>
    <w:p w14:paraId="21BB60E4"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2C80D1F0" w14:textId="77777777" w:rsidR="0034131E" w:rsidRPr="00833D4F" w:rsidRDefault="00E660F9">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833D4F">
        <w:rPr>
          <w:rFonts w:ascii="Century Gothic" w:eastAsia="Century Gothic" w:hAnsi="Century Gothic" w:cs="Century Gothic"/>
          <w:color w:val="000000"/>
          <w:sz w:val="18"/>
          <w:szCs w:val="18"/>
          <w:lang w:val="es-ES"/>
        </w:rPr>
        <w:t>Fiel a su propósito, "</w:t>
      </w:r>
      <w:proofErr w:type="spellStart"/>
      <w:r w:rsidRPr="00833D4F">
        <w:rPr>
          <w:rFonts w:ascii="Century Gothic" w:eastAsia="Century Gothic" w:hAnsi="Century Gothic" w:cs="Century Gothic"/>
          <w:color w:val="000000"/>
          <w:sz w:val="18"/>
          <w:szCs w:val="18"/>
          <w:lang w:val="es-ES"/>
        </w:rPr>
        <w:t>Enrich</w:t>
      </w:r>
      <w:proofErr w:type="spellEnd"/>
      <w:r w:rsidRPr="00833D4F">
        <w:rPr>
          <w:rFonts w:ascii="Century Gothic" w:eastAsia="Century Gothic" w:hAnsi="Century Gothic" w:cs="Century Gothic"/>
          <w:color w:val="000000"/>
          <w:sz w:val="18"/>
          <w:szCs w:val="18"/>
          <w:lang w:val="es-ES"/>
        </w:rPr>
        <w:t xml:space="preserve"> </w:t>
      </w:r>
      <w:proofErr w:type="spellStart"/>
      <w:r w:rsidRPr="00833D4F">
        <w:rPr>
          <w:rFonts w:ascii="Century Gothic" w:eastAsia="Century Gothic" w:hAnsi="Century Gothic" w:cs="Century Gothic"/>
          <w:color w:val="000000"/>
          <w:sz w:val="18"/>
          <w:szCs w:val="18"/>
          <w:lang w:val="es-ES"/>
        </w:rPr>
        <w:t>connections</w:t>
      </w:r>
      <w:proofErr w:type="spellEnd"/>
      <w:r w:rsidRPr="00833D4F">
        <w:rPr>
          <w:rFonts w:ascii="Century Gothic" w:eastAsia="Century Gothic" w:hAnsi="Century Gothic" w:cs="Century Gothic"/>
          <w:color w:val="000000"/>
          <w:sz w:val="18"/>
          <w:szCs w:val="18"/>
          <w:lang w:val="es-ES"/>
        </w:rPr>
        <w:t xml:space="preserve">. For </w:t>
      </w:r>
      <w:proofErr w:type="spellStart"/>
      <w:r w:rsidRPr="00833D4F">
        <w:rPr>
          <w:rFonts w:ascii="Century Gothic" w:eastAsia="Century Gothic" w:hAnsi="Century Gothic" w:cs="Century Gothic"/>
          <w:color w:val="000000"/>
          <w:sz w:val="18"/>
          <w:szCs w:val="18"/>
          <w:lang w:val="es-ES"/>
        </w:rPr>
        <w:t>good</w:t>
      </w:r>
      <w:proofErr w:type="spellEnd"/>
      <w:r w:rsidRPr="00833D4F">
        <w:rPr>
          <w:rFonts w:ascii="Century Gothic" w:eastAsia="Century Gothic" w:hAnsi="Century Gothic" w:cs="Century Gothic"/>
          <w:color w:val="000000"/>
          <w:sz w:val="18"/>
          <w:szCs w:val="18"/>
          <w:lang w:val="es-ES"/>
        </w:rPr>
        <w:t>.", Edenred trabaja para mejorar el bienestar y el poder adquisitivo de los usuarios, incrementar la atractividad y eficiencia de las empresas, y dinamizar el mercado laboral y la economía local. Su impacto también se traduce en el fomento de una alimentación más saludable, el acceso a productos más sostenibles y el impulso de una movilidad más ecológica.</w:t>
      </w:r>
    </w:p>
    <w:p w14:paraId="6502A61F"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31ABED79" w14:textId="77777777" w:rsidR="0034131E" w:rsidRPr="00833D4F" w:rsidRDefault="00E660F9">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833D4F">
        <w:rPr>
          <w:rFonts w:ascii="Century Gothic" w:eastAsia="Century Gothic" w:hAnsi="Century Gothic" w:cs="Century Gothic"/>
          <w:color w:val="000000"/>
          <w:sz w:val="18"/>
          <w:szCs w:val="18"/>
          <w:lang w:val="es-ES"/>
        </w:rPr>
        <w:t>Con un equipo de 12.000 empleados, Edenred se compromete cada día a hacer del mundo laboral un ecosistema más conectado, seguro, eficiente y responsable. En 2024, gracias a su infraestructura tecnológica global, el Grupo gestionó un volumen de negocio cercano a 45.000 millones de euros, operado principalmente a través de aplicaciones móviles, plataformas online y tarjetas.</w:t>
      </w:r>
    </w:p>
    <w:p w14:paraId="2BC1F840"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4B5D790E" w14:textId="77777777" w:rsidR="0034131E" w:rsidRPr="00833D4F" w:rsidRDefault="00E660F9">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833D4F">
        <w:rPr>
          <w:rFonts w:ascii="Century Gothic" w:eastAsia="Century Gothic" w:hAnsi="Century Gothic" w:cs="Century Gothic"/>
          <w:color w:val="000000"/>
          <w:sz w:val="18"/>
          <w:szCs w:val="18"/>
          <w:lang w:val="es-ES"/>
        </w:rPr>
        <w:t xml:space="preserve">Edenred cotiza en la Bolsa de París (Euronext) y forma parte de los principales índices bursátiles, incluyendo CAC 40, CAC 40 ESG, CAC </w:t>
      </w:r>
      <w:proofErr w:type="spellStart"/>
      <w:r w:rsidRPr="00833D4F">
        <w:rPr>
          <w:rFonts w:ascii="Century Gothic" w:eastAsia="Century Gothic" w:hAnsi="Century Gothic" w:cs="Century Gothic"/>
          <w:color w:val="000000"/>
          <w:sz w:val="18"/>
          <w:szCs w:val="18"/>
          <w:lang w:val="es-ES"/>
        </w:rPr>
        <w:t>Large</w:t>
      </w:r>
      <w:proofErr w:type="spellEnd"/>
      <w:r w:rsidRPr="00833D4F">
        <w:rPr>
          <w:rFonts w:ascii="Century Gothic" w:eastAsia="Century Gothic" w:hAnsi="Century Gothic" w:cs="Century Gothic"/>
          <w:color w:val="000000"/>
          <w:sz w:val="18"/>
          <w:szCs w:val="18"/>
          <w:lang w:val="es-ES"/>
        </w:rPr>
        <w:t xml:space="preserve"> 60, Euronext 100, Euronext </w:t>
      </w:r>
      <w:proofErr w:type="spellStart"/>
      <w:r w:rsidRPr="00833D4F">
        <w:rPr>
          <w:rFonts w:ascii="Century Gothic" w:eastAsia="Century Gothic" w:hAnsi="Century Gothic" w:cs="Century Gothic"/>
          <w:color w:val="000000"/>
          <w:sz w:val="18"/>
          <w:szCs w:val="18"/>
          <w:lang w:val="es-ES"/>
        </w:rPr>
        <w:t>Tech</w:t>
      </w:r>
      <w:proofErr w:type="spellEnd"/>
      <w:r w:rsidRPr="00833D4F">
        <w:rPr>
          <w:rFonts w:ascii="Century Gothic" w:eastAsia="Century Gothic" w:hAnsi="Century Gothic" w:cs="Century Gothic"/>
          <w:color w:val="000000"/>
          <w:sz w:val="18"/>
          <w:szCs w:val="18"/>
          <w:lang w:val="es-ES"/>
        </w:rPr>
        <w:t xml:space="preserve"> </w:t>
      </w:r>
      <w:proofErr w:type="spellStart"/>
      <w:r w:rsidRPr="00833D4F">
        <w:rPr>
          <w:rFonts w:ascii="Century Gothic" w:eastAsia="Century Gothic" w:hAnsi="Century Gothic" w:cs="Century Gothic"/>
          <w:color w:val="000000"/>
          <w:sz w:val="18"/>
          <w:szCs w:val="18"/>
          <w:lang w:val="es-ES"/>
        </w:rPr>
        <w:t>Leaders</w:t>
      </w:r>
      <w:proofErr w:type="spellEnd"/>
      <w:r w:rsidRPr="00833D4F">
        <w:rPr>
          <w:rFonts w:ascii="Century Gothic" w:eastAsia="Century Gothic" w:hAnsi="Century Gothic" w:cs="Century Gothic"/>
          <w:color w:val="000000"/>
          <w:sz w:val="18"/>
          <w:szCs w:val="18"/>
          <w:lang w:val="es-ES"/>
        </w:rPr>
        <w:t xml:space="preserve">, FTSE4Good, DJSI </w:t>
      </w:r>
      <w:proofErr w:type="spellStart"/>
      <w:r w:rsidRPr="00833D4F">
        <w:rPr>
          <w:rFonts w:ascii="Century Gothic" w:eastAsia="Century Gothic" w:hAnsi="Century Gothic" w:cs="Century Gothic"/>
          <w:color w:val="000000"/>
          <w:sz w:val="18"/>
          <w:szCs w:val="18"/>
          <w:lang w:val="es-ES"/>
        </w:rPr>
        <w:t>Europe</w:t>
      </w:r>
      <w:proofErr w:type="spellEnd"/>
      <w:r w:rsidRPr="00833D4F">
        <w:rPr>
          <w:rFonts w:ascii="Century Gothic" w:eastAsia="Century Gothic" w:hAnsi="Century Gothic" w:cs="Century Gothic"/>
          <w:color w:val="000000"/>
          <w:sz w:val="18"/>
          <w:szCs w:val="18"/>
          <w:lang w:val="es-ES"/>
        </w:rPr>
        <w:t xml:space="preserve"> </w:t>
      </w:r>
      <w:proofErr w:type="spellStart"/>
      <w:r w:rsidRPr="00833D4F">
        <w:rPr>
          <w:rFonts w:ascii="Century Gothic" w:eastAsia="Century Gothic" w:hAnsi="Century Gothic" w:cs="Century Gothic"/>
          <w:color w:val="000000"/>
          <w:sz w:val="18"/>
          <w:szCs w:val="18"/>
          <w:lang w:val="es-ES"/>
        </w:rPr>
        <w:t>Index</w:t>
      </w:r>
      <w:proofErr w:type="spellEnd"/>
      <w:r w:rsidRPr="00833D4F">
        <w:rPr>
          <w:rFonts w:ascii="Century Gothic" w:eastAsia="Century Gothic" w:hAnsi="Century Gothic" w:cs="Century Gothic"/>
          <w:color w:val="000000"/>
          <w:sz w:val="18"/>
          <w:szCs w:val="18"/>
          <w:lang w:val="es-ES"/>
        </w:rPr>
        <w:t xml:space="preserve">, DJSI </w:t>
      </w:r>
      <w:proofErr w:type="spellStart"/>
      <w:r w:rsidRPr="00833D4F">
        <w:rPr>
          <w:rFonts w:ascii="Century Gothic" w:eastAsia="Century Gothic" w:hAnsi="Century Gothic" w:cs="Century Gothic"/>
          <w:color w:val="000000"/>
          <w:sz w:val="18"/>
          <w:szCs w:val="18"/>
          <w:lang w:val="es-ES"/>
        </w:rPr>
        <w:t>World</w:t>
      </w:r>
      <w:proofErr w:type="spellEnd"/>
      <w:r w:rsidRPr="00833D4F">
        <w:rPr>
          <w:rFonts w:ascii="Century Gothic" w:eastAsia="Century Gothic" w:hAnsi="Century Gothic" w:cs="Century Gothic"/>
          <w:color w:val="000000"/>
          <w:sz w:val="18"/>
          <w:szCs w:val="18"/>
          <w:lang w:val="es-ES"/>
        </w:rPr>
        <w:t xml:space="preserve"> </w:t>
      </w:r>
      <w:proofErr w:type="spellStart"/>
      <w:r w:rsidRPr="00833D4F">
        <w:rPr>
          <w:rFonts w:ascii="Century Gothic" w:eastAsia="Century Gothic" w:hAnsi="Century Gothic" w:cs="Century Gothic"/>
          <w:color w:val="000000"/>
          <w:sz w:val="18"/>
          <w:szCs w:val="18"/>
          <w:lang w:val="es-ES"/>
        </w:rPr>
        <w:t>Index</w:t>
      </w:r>
      <w:proofErr w:type="spellEnd"/>
      <w:r w:rsidRPr="00833D4F">
        <w:rPr>
          <w:rFonts w:ascii="Century Gothic" w:eastAsia="Century Gothic" w:hAnsi="Century Gothic" w:cs="Century Gothic"/>
          <w:color w:val="000000"/>
          <w:sz w:val="18"/>
          <w:szCs w:val="18"/>
          <w:lang w:val="es-ES"/>
        </w:rPr>
        <w:t xml:space="preserve"> y MSCI </w:t>
      </w:r>
      <w:proofErr w:type="spellStart"/>
      <w:r w:rsidRPr="00833D4F">
        <w:rPr>
          <w:rFonts w:ascii="Century Gothic" w:eastAsia="Century Gothic" w:hAnsi="Century Gothic" w:cs="Century Gothic"/>
          <w:color w:val="000000"/>
          <w:sz w:val="18"/>
          <w:szCs w:val="18"/>
          <w:lang w:val="es-ES"/>
        </w:rPr>
        <w:t>Europe</w:t>
      </w:r>
      <w:proofErr w:type="spellEnd"/>
      <w:r w:rsidRPr="00833D4F">
        <w:rPr>
          <w:rFonts w:ascii="Century Gothic" w:eastAsia="Century Gothic" w:hAnsi="Century Gothic" w:cs="Century Gothic"/>
          <w:color w:val="000000"/>
          <w:sz w:val="18"/>
          <w:szCs w:val="18"/>
          <w:lang w:val="es-ES"/>
        </w:rPr>
        <w:t>.</w:t>
      </w:r>
    </w:p>
    <w:p w14:paraId="5BF9E4B4"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1CC7A655" w14:textId="77777777" w:rsidR="0034131E" w:rsidRPr="00833D4F" w:rsidRDefault="00E660F9">
      <w:pPr>
        <w:spacing w:line="240" w:lineRule="auto"/>
        <w:jc w:val="both"/>
        <w:rPr>
          <w:rFonts w:ascii="Century Gothic" w:eastAsia="Century Gothic" w:hAnsi="Century Gothic" w:cs="Century Gothic"/>
          <w:i/>
          <w:color w:val="000000"/>
          <w:sz w:val="16"/>
          <w:szCs w:val="16"/>
          <w:lang w:val="es-ES"/>
        </w:rPr>
      </w:pPr>
      <w:r w:rsidRPr="00833D4F">
        <w:rPr>
          <w:rFonts w:ascii="Century Gothic" w:eastAsia="Century Gothic" w:hAnsi="Century Gothic" w:cs="Century Gothic"/>
          <w:i/>
          <w:color w:val="000000"/>
          <w:sz w:val="16"/>
          <w:szCs w:val="16"/>
          <w:lang w:val="es-ES"/>
        </w:rPr>
        <w:t>Los logotipos y otras marcas mencionadas y destacadas en este comunicado de prensa son marcas registradas de Edenred S.E., sus filiales o terceros. No pueden utilizarse con fines comerciales sin el consentimiento previo por escrito de sus propietarios.</w:t>
      </w:r>
    </w:p>
    <w:p w14:paraId="60992604"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6E54591E"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b/>
          <w:color w:val="000000"/>
          <w:sz w:val="24"/>
          <w:szCs w:val="24"/>
          <w:lang w:val="es-ES"/>
        </w:rPr>
      </w:pPr>
    </w:p>
    <w:p w14:paraId="34EBC2CB" w14:textId="77777777" w:rsidR="0034131E" w:rsidRDefault="00E660F9">
      <w:pPr>
        <w:spacing w:line="254"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CONTACTO</w:t>
      </w:r>
    </w:p>
    <w:tbl>
      <w:tblPr>
        <w:tblStyle w:val="a"/>
        <w:tblW w:w="9655" w:type="dxa"/>
        <w:tblInd w:w="0" w:type="dxa"/>
        <w:tblLayout w:type="fixed"/>
        <w:tblLook w:val="0000" w:firstRow="0" w:lastRow="0" w:firstColumn="0" w:lastColumn="0" w:noHBand="0" w:noVBand="0"/>
      </w:tblPr>
      <w:tblGrid>
        <w:gridCol w:w="5103"/>
        <w:gridCol w:w="4552"/>
      </w:tblGrid>
      <w:tr w:rsidR="0034131E" w14:paraId="10E87855" w14:textId="77777777">
        <w:trPr>
          <w:trHeight w:val="1725"/>
        </w:trPr>
        <w:tc>
          <w:tcPr>
            <w:tcW w:w="5103" w:type="dxa"/>
            <w:tcMar>
              <w:top w:w="0" w:type="dxa"/>
              <w:left w:w="108" w:type="dxa"/>
              <w:bottom w:w="0" w:type="dxa"/>
              <w:right w:w="108" w:type="dxa"/>
            </w:tcMar>
          </w:tcPr>
          <w:p w14:paraId="539CB8FE" w14:textId="77777777" w:rsidR="0034131E" w:rsidRDefault="0034131E">
            <w:pPr>
              <w:jc w:val="both"/>
              <w:rPr>
                <w:rFonts w:ascii="Century Gothic" w:eastAsia="Century Gothic" w:hAnsi="Century Gothic" w:cs="Century Gothic"/>
                <w:b/>
                <w:color w:val="000000"/>
                <w:sz w:val="16"/>
                <w:szCs w:val="16"/>
              </w:rPr>
            </w:pPr>
          </w:p>
          <w:p w14:paraId="3E71BA8C" w14:textId="77777777" w:rsidR="0034131E" w:rsidRDefault="00E660F9">
            <w:pPr>
              <w:jc w:val="both"/>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Edenred</w:t>
            </w:r>
          </w:p>
          <w:p w14:paraId="2C0E5145" w14:textId="77777777" w:rsidR="0034131E" w:rsidRDefault="00E660F9">
            <w:pPr>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Alejandro Delgado Sánchez</w:t>
            </w:r>
          </w:p>
          <w:p w14:paraId="3C5097B0" w14:textId="77777777" w:rsidR="0034131E" w:rsidRDefault="00E660F9">
            <w:pPr>
              <w:jc w:val="both"/>
            </w:pPr>
            <w:r>
              <w:rPr>
                <w:rFonts w:ascii="Century Gothic" w:eastAsia="Century Gothic" w:hAnsi="Century Gothic" w:cs="Century Gothic"/>
                <w:color w:val="000000"/>
                <w:sz w:val="16"/>
                <w:szCs w:val="16"/>
              </w:rPr>
              <w:t xml:space="preserve">Communications </w:t>
            </w:r>
            <w:proofErr w:type="spellStart"/>
            <w:r>
              <w:rPr>
                <w:rFonts w:ascii="Century Gothic" w:eastAsia="Century Gothic" w:hAnsi="Century Gothic" w:cs="Century Gothic"/>
                <w:color w:val="000000"/>
                <w:sz w:val="16"/>
                <w:szCs w:val="16"/>
              </w:rPr>
              <w:t>Specialist</w:t>
            </w:r>
            <w:proofErr w:type="spellEnd"/>
            <w:r>
              <w:rPr>
                <w:rFonts w:ascii="Century Gothic" w:eastAsia="Century Gothic" w:hAnsi="Century Gothic" w:cs="Century Gothic"/>
                <w:color w:val="000000"/>
                <w:sz w:val="16"/>
                <w:szCs w:val="16"/>
              </w:rPr>
              <w:t xml:space="preserve"> </w:t>
            </w:r>
          </w:p>
          <w:p w14:paraId="7AD809AF" w14:textId="77777777" w:rsidR="0034131E" w:rsidRDefault="0034131E">
            <w:pPr>
              <w:jc w:val="both"/>
            </w:pPr>
            <w:hyperlink r:id="rId9">
              <w:r>
                <w:rPr>
                  <w:rFonts w:ascii="Century Gothic" w:eastAsia="Century Gothic" w:hAnsi="Century Gothic" w:cs="Century Gothic"/>
                  <w:color w:val="000000"/>
                  <w:sz w:val="16"/>
                  <w:szCs w:val="16"/>
                </w:rPr>
                <w:t>alejandro.delgadosanchez@edenred.com</w:t>
              </w:r>
            </w:hyperlink>
          </w:p>
          <w:p w14:paraId="4CF87B1B" w14:textId="77777777" w:rsidR="0034131E" w:rsidRDefault="0034131E">
            <w:pPr>
              <w:spacing w:line="251" w:lineRule="auto"/>
              <w:rPr>
                <w:rFonts w:ascii="Century Gothic" w:eastAsia="Century Gothic" w:hAnsi="Century Gothic" w:cs="Century Gothic"/>
                <w:b/>
                <w:color w:val="000000"/>
                <w:sz w:val="16"/>
                <w:szCs w:val="16"/>
              </w:rPr>
            </w:pPr>
          </w:p>
        </w:tc>
        <w:tc>
          <w:tcPr>
            <w:tcW w:w="4552" w:type="dxa"/>
            <w:tcMar>
              <w:top w:w="0" w:type="dxa"/>
              <w:left w:w="108" w:type="dxa"/>
              <w:bottom w:w="0" w:type="dxa"/>
              <w:right w:w="108" w:type="dxa"/>
            </w:tcMar>
          </w:tcPr>
          <w:p w14:paraId="73979073" w14:textId="77777777" w:rsidR="0034131E" w:rsidRDefault="0034131E">
            <w:pPr>
              <w:spacing w:line="251" w:lineRule="auto"/>
              <w:rPr>
                <w:rFonts w:ascii="Century Gothic" w:eastAsia="Century Gothic" w:hAnsi="Century Gothic" w:cs="Century Gothic"/>
                <w:b/>
                <w:color w:val="000000"/>
                <w:sz w:val="16"/>
                <w:szCs w:val="16"/>
              </w:rPr>
            </w:pPr>
          </w:p>
          <w:p w14:paraId="188D7D39" w14:textId="77777777" w:rsidR="0034131E" w:rsidRDefault="00E660F9">
            <w:pPr>
              <w:spacing w:line="251" w:lineRule="auto"/>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 xml:space="preserve">Newlink Spain </w:t>
            </w:r>
          </w:p>
          <w:p w14:paraId="0709A77C"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Marina Gascón | Patricia </w:t>
            </w:r>
            <w:proofErr w:type="spellStart"/>
            <w:r>
              <w:rPr>
                <w:rFonts w:ascii="Century Gothic" w:eastAsia="Century Gothic" w:hAnsi="Century Gothic" w:cs="Century Gothic"/>
                <w:color w:val="000000"/>
                <w:sz w:val="16"/>
                <w:szCs w:val="16"/>
              </w:rPr>
              <w:t>Vizcaíno</w:t>
            </w:r>
            <w:proofErr w:type="spellEnd"/>
            <w:r>
              <w:rPr>
                <w:rFonts w:ascii="Century Gothic" w:eastAsia="Century Gothic" w:hAnsi="Century Gothic" w:cs="Century Gothic"/>
                <w:color w:val="000000"/>
                <w:sz w:val="16"/>
                <w:szCs w:val="16"/>
              </w:rPr>
              <w:t xml:space="preserve"> | Sara García</w:t>
            </w:r>
          </w:p>
          <w:p w14:paraId="186B073B"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651 96 34 59</w:t>
            </w:r>
          </w:p>
          <w:p w14:paraId="5D012B56" w14:textId="77777777" w:rsidR="0034131E" w:rsidRDefault="0034131E">
            <w:pPr>
              <w:spacing w:line="251" w:lineRule="auto"/>
            </w:pPr>
            <w:hyperlink r:id="rId10">
              <w:r>
                <w:rPr>
                  <w:rFonts w:ascii="Century Gothic" w:eastAsia="Century Gothic" w:hAnsi="Century Gothic" w:cs="Century Gothic"/>
                  <w:color w:val="000000"/>
                  <w:sz w:val="16"/>
                  <w:szCs w:val="16"/>
                </w:rPr>
                <w:t>equipo.edenred@newlink-group.com</w:t>
              </w:r>
            </w:hyperlink>
          </w:p>
        </w:tc>
      </w:tr>
    </w:tbl>
    <w:p w14:paraId="71CD1086" w14:textId="77777777" w:rsidR="0034131E" w:rsidRDefault="0034131E">
      <w:pPr>
        <w:ind w:left="141"/>
        <w:rPr>
          <w:color w:val="002060"/>
        </w:rPr>
      </w:pPr>
    </w:p>
    <w:p w14:paraId="6BE778FE" w14:textId="77777777" w:rsidR="00810BA4" w:rsidRPr="00810BA4" w:rsidRDefault="00810BA4" w:rsidP="00810BA4">
      <w:pPr>
        <w:tabs>
          <w:tab w:val="left" w:pos="2760"/>
        </w:tabs>
        <w:rPr>
          <w:rFonts w:ascii="Century Gothic" w:hAnsi="Century Gothic"/>
          <w:b/>
          <w:bCs/>
          <w:color w:val="auto"/>
          <w:sz w:val="24"/>
          <w:szCs w:val="24"/>
          <w:lang w:val="es-ES"/>
        </w:rPr>
      </w:pPr>
      <w:r w:rsidRPr="00810BA4">
        <w:rPr>
          <w:rFonts w:ascii="Century Gothic" w:hAnsi="Century Gothic"/>
          <w:b/>
          <w:bCs/>
          <w:color w:val="auto"/>
          <w:sz w:val="24"/>
          <w:szCs w:val="24"/>
          <w:lang w:val="es-ES"/>
        </w:rPr>
        <w:t>PUBLICACIONES RELACIONADAS</w:t>
      </w:r>
    </w:p>
    <w:p w14:paraId="2A19A555" w14:textId="77777777" w:rsidR="00810BA4" w:rsidRPr="00810BA4" w:rsidRDefault="00810BA4" w:rsidP="00810BA4">
      <w:pPr>
        <w:tabs>
          <w:tab w:val="left" w:pos="2760"/>
        </w:tabs>
        <w:rPr>
          <w:rFonts w:ascii="Century Gothic" w:hAnsi="Century Gothic"/>
          <w:color w:val="auto"/>
          <w:lang w:val="es-ES"/>
        </w:rPr>
      </w:pPr>
    </w:p>
    <w:p w14:paraId="34E86780" w14:textId="77777777" w:rsidR="00810BA4" w:rsidRPr="00810BA4" w:rsidRDefault="00810BA4" w:rsidP="00810BA4">
      <w:pPr>
        <w:tabs>
          <w:tab w:val="left" w:pos="2760"/>
        </w:tabs>
        <w:rPr>
          <w:rFonts w:ascii="Century Gothic" w:hAnsi="Century Gothic"/>
          <w:color w:val="auto"/>
          <w:lang w:val="es-ES"/>
        </w:rPr>
      </w:pPr>
      <w:r w:rsidRPr="00810BA4">
        <w:rPr>
          <w:rFonts w:ascii="Century Gothic" w:hAnsi="Century Gothic"/>
          <w:color w:val="auto"/>
          <w:lang w:val="es-ES"/>
        </w:rPr>
        <w:t>Si deseas ampliar información sobre este comunicado, puedes consultar las siguientes publicaciones:</w:t>
      </w:r>
    </w:p>
    <w:p w14:paraId="52D76720" w14:textId="77777777" w:rsidR="00810BA4" w:rsidRPr="00810BA4" w:rsidRDefault="00810BA4" w:rsidP="00810BA4">
      <w:pPr>
        <w:rPr>
          <w:rFonts w:ascii="Century Gothic" w:hAnsi="Century Gothic" w:cs="Calibri"/>
          <w:color w:val="55517B"/>
          <w:u w:val="single"/>
          <w:lang w:val="es-ES"/>
        </w:rPr>
      </w:pPr>
    </w:p>
    <w:p w14:paraId="4BAB5A5C" w14:textId="77777777" w:rsidR="00395278" w:rsidRPr="00395278" w:rsidRDefault="00395278" w:rsidP="00395278">
      <w:pPr>
        <w:numPr>
          <w:ilvl w:val="0"/>
          <w:numId w:val="5"/>
        </w:numPr>
        <w:tabs>
          <w:tab w:val="left" w:pos="2760"/>
        </w:tabs>
        <w:rPr>
          <w:rFonts w:ascii="Century Gothic" w:eastAsia="Times New Roman" w:hAnsi="Century Gothic" w:cs="Calibri"/>
          <w:color w:val="000000"/>
          <w:u w:val="single"/>
          <w:lang w:val="es-ES"/>
        </w:rPr>
      </w:pPr>
      <w:r w:rsidRPr="00395278">
        <w:rPr>
          <w:rFonts w:ascii="Century Gothic" w:eastAsia="Times New Roman" w:hAnsi="Century Gothic" w:cs="Calibri"/>
          <w:b/>
          <w:bCs/>
          <w:color w:val="000000"/>
          <w:lang w:val="es-ES"/>
        </w:rPr>
        <w:t>El País.</w:t>
      </w:r>
      <w:r w:rsidRPr="00395278">
        <w:rPr>
          <w:rFonts w:ascii="Century Gothic" w:eastAsia="Times New Roman" w:hAnsi="Century Gothic" w:cs="Calibri"/>
          <w:b/>
          <w:bCs/>
          <w:color w:val="000000"/>
          <w:u w:val="single"/>
          <w:lang w:val="es-ES"/>
        </w:rPr>
        <w:t xml:space="preserve"> </w:t>
      </w:r>
      <w:hyperlink r:id="rId11" w:history="1">
        <w:r w:rsidRPr="00395278">
          <w:rPr>
            <w:rStyle w:val="Hipervnculo"/>
            <w:rFonts w:ascii="Century Gothic" w:eastAsia="Times New Roman" w:hAnsi="Century Gothic" w:cs="Calibri"/>
            <w:lang w:val="es-ES"/>
          </w:rPr>
          <w:t>El menú del día alcanza los 14,2 euros de media: del más económico en Canarias al más caro en Bale</w:t>
        </w:r>
        <w:r w:rsidRPr="00395278">
          <w:rPr>
            <w:rStyle w:val="Hipervnculo"/>
            <w:rFonts w:ascii="Century Gothic" w:eastAsia="Times New Roman" w:hAnsi="Century Gothic" w:cs="Calibri"/>
            <w:lang w:val="es-ES"/>
          </w:rPr>
          <w:t>a</w:t>
        </w:r>
        <w:r w:rsidRPr="00395278">
          <w:rPr>
            <w:rStyle w:val="Hipervnculo"/>
            <w:rFonts w:ascii="Century Gothic" w:eastAsia="Times New Roman" w:hAnsi="Century Gothic" w:cs="Calibri"/>
            <w:lang w:val="es-ES"/>
          </w:rPr>
          <w:t>res</w:t>
        </w:r>
      </w:hyperlink>
    </w:p>
    <w:p w14:paraId="36D8C9A1" w14:textId="77777777" w:rsidR="00395278" w:rsidRPr="00395278" w:rsidRDefault="00395278" w:rsidP="00395278">
      <w:pPr>
        <w:tabs>
          <w:tab w:val="left" w:pos="2760"/>
        </w:tabs>
        <w:ind w:left="720"/>
        <w:rPr>
          <w:rFonts w:ascii="Century Gothic" w:eastAsia="Times New Roman" w:hAnsi="Century Gothic" w:cs="Calibri"/>
          <w:b/>
          <w:bCs/>
          <w:color w:val="000000"/>
          <w:u w:val="single"/>
          <w:lang w:val="es-ES"/>
        </w:rPr>
      </w:pPr>
    </w:p>
    <w:p w14:paraId="07B64A2D" w14:textId="77777777" w:rsidR="00395278" w:rsidRPr="00395278" w:rsidRDefault="00395278" w:rsidP="00395278">
      <w:pPr>
        <w:numPr>
          <w:ilvl w:val="0"/>
          <w:numId w:val="5"/>
        </w:numPr>
        <w:tabs>
          <w:tab w:val="left" w:pos="2760"/>
        </w:tabs>
        <w:rPr>
          <w:rFonts w:ascii="Century Gothic" w:eastAsia="Times New Roman" w:hAnsi="Century Gothic" w:cs="Calibri"/>
          <w:b/>
          <w:bCs/>
          <w:color w:val="000000"/>
          <w:u w:val="single"/>
          <w:lang w:val="es-ES"/>
        </w:rPr>
      </w:pPr>
      <w:r w:rsidRPr="00395278">
        <w:rPr>
          <w:rFonts w:ascii="Century Gothic" w:eastAsia="Times New Roman" w:hAnsi="Century Gothic" w:cs="Calibri"/>
          <w:b/>
          <w:bCs/>
          <w:color w:val="000000"/>
          <w:lang w:val="es-ES"/>
        </w:rPr>
        <w:lastRenderedPageBreak/>
        <w:t>La Vanguardia</w:t>
      </w:r>
      <w:r w:rsidRPr="00395278">
        <w:rPr>
          <w:rFonts w:ascii="Century Gothic" w:eastAsia="Times New Roman" w:hAnsi="Century Gothic" w:cs="Calibri"/>
          <w:b/>
          <w:bCs/>
          <w:color w:val="000000"/>
          <w:u w:val="single"/>
          <w:lang w:val="es-ES"/>
        </w:rPr>
        <w:t xml:space="preserve">. </w:t>
      </w:r>
      <w:hyperlink r:id="rId12" w:history="1">
        <w:r w:rsidRPr="00395278">
          <w:rPr>
            <w:rStyle w:val="Hipervnculo"/>
            <w:rFonts w:ascii="Century Gothic" w:eastAsia="Times New Roman" w:hAnsi="Century Gothic" w:cs="Calibri"/>
            <w:lang w:val="es-ES"/>
          </w:rPr>
          <w:t xml:space="preserve">El precio del </w:t>
        </w:r>
        <w:r w:rsidRPr="00395278">
          <w:rPr>
            <w:rStyle w:val="Hipervnculo"/>
            <w:rFonts w:ascii="Century Gothic" w:eastAsia="Times New Roman" w:hAnsi="Century Gothic" w:cs="Calibri"/>
            <w:lang w:val="es-ES"/>
          </w:rPr>
          <w:t>m</w:t>
        </w:r>
        <w:r w:rsidRPr="00395278">
          <w:rPr>
            <w:rStyle w:val="Hipervnculo"/>
            <w:rFonts w:ascii="Century Gothic" w:eastAsia="Times New Roman" w:hAnsi="Century Gothic" w:cs="Calibri"/>
            <w:lang w:val="es-ES"/>
          </w:rPr>
          <w:t>enú del día en España ha subido un 1,5 % en restaurantes y alcanza los 14,2 euros</w:t>
        </w:r>
      </w:hyperlink>
    </w:p>
    <w:p w14:paraId="05509EC5" w14:textId="77777777" w:rsidR="00395278" w:rsidRPr="00395278" w:rsidRDefault="00395278" w:rsidP="00395278">
      <w:pPr>
        <w:pStyle w:val="Prrafodelista"/>
        <w:rPr>
          <w:rFonts w:ascii="Century Gothic" w:eastAsia="Times New Roman" w:hAnsi="Century Gothic" w:cs="Calibri"/>
          <w:b/>
          <w:bCs/>
          <w:color w:val="000000"/>
          <w:u w:val="single"/>
          <w:lang w:val="es-ES"/>
        </w:rPr>
      </w:pPr>
    </w:p>
    <w:p w14:paraId="088F8792" w14:textId="77777777" w:rsidR="00395278" w:rsidRPr="00395278" w:rsidRDefault="00395278" w:rsidP="00395278">
      <w:pPr>
        <w:tabs>
          <w:tab w:val="left" w:pos="2760"/>
        </w:tabs>
        <w:ind w:left="720"/>
        <w:rPr>
          <w:rFonts w:ascii="Century Gothic" w:eastAsia="Times New Roman" w:hAnsi="Century Gothic" w:cs="Calibri"/>
          <w:b/>
          <w:bCs/>
          <w:color w:val="000000"/>
          <w:u w:val="single"/>
          <w:lang w:val="es-ES"/>
        </w:rPr>
      </w:pPr>
    </w:p>
    <w:p w14:paraId="77485026" w14:textId="77777777" w:rsidR="00395278" w:rsidRPr="00395278" w:rsidRDefault="00395278" w:rsidP="00395278">
      <w:pPr>
        <w:numPr>
          <w:ilvl w:val="0"/>
          <w:numId w:val="5"/>
        </w:numPr>
        <w:tabs>
          <w:tab w:val="left" w:pos="2760"/>
        </w:tabs>
        <w:rPr>
          <w:rFonts w:ascii="Century Gothic" w:eastAsia="Times New Roman" w:hAnsi="Century Gothic" w:cs="Calibri"/>
          <w:b/>
          <w:bCs/>
          <w:color w:val="000000"/>
          <w:u w:val="single"/>
          <w:lang w:val="es-ES"/>
        </w:rPr>
      </w:pPr>
      <w:r w:rsidRPr="00395278">
        <w:rPr>
          <w:rFonts w:ascii="Century Gothic" w:eastAsia="Times New Roman" w:hAnsi="Century Gothic" w:cs="Calibri"/>
          <w:b/>
          <w:bCs/>
          <w:color w:val="000000"/>
          <w:lang w:val="es-ES"/>
        </w:rPr>
        <w:t xml:space="preserve">La Razón. </w:t>
      </w:r>
      <w:hyperlink r:id="rId13" w:tgtFrame="_blank" w:history="1">
        <w:r w:rsidRPr="00395278">
          <w:rPr>
            <w:rStyle w:val="Hipervnculo"/>
            <w:rFonts w:ascii="Century Gothic" w:eastAsia="Times New Roman" w:hAnsi="Century Gothic" w:cs="Calibri"/>
            <w:lang w:val="es-ES"/>
          </w:rPr>
          <w:t xml:space="preserve">¿Eres de comer menú </w:t>
        </w:r>
        <w:r w:rsidRPr="00395278">
          <w:rPr>
            <w:rStyle w:val="Hipervnculo"/>
            <w:rFonts w:ascii="Century Gothic" w:eastAsia="Times New Roman" w:hAnsi="Century Gothic" w:cs="Calibri"/>
            <w:lang w:val="es-ES"/>
          </w:rPr>
          <w:t>d</w:t>
        </w:r>
        <w:r w:rsidRPr="00395278">
          <w:rPr>
            <w:rStyle w:val="Hipervnculo"/>
            <w:rFonts w:ascii="Century Gothic" w:eastAsia="Times New Roman" w:hAnsi="Century Gothic" w:cs="Calibri"/>
            <w:lang w:val="es-ES"/>
          </w:rPr>
          <w:t>el día? Conoce los territorios donde es más económico</w:t>
        </w:r>
      </w:hyperlink>
    </w:p>
    <w:p w14:paraId="2460FCB0" w14:textId="71FB2AF1" w:rsidR="00C75B21" w:rsidRPr="00C75B21" w:rsidRDefault="00C75B21" w:rsidP="00395278">
      <w:pPr>
        <w:tabs>
          <w:tab w:val="left" w:pos="2760"/>
        </w:tabs>
        <w:ind w:left="360"/>
        <w:rPr>
          <w:rFonts w:ascii="Century Gothic" w:eastAsia="Times New Roman" w:hAnsi="Century Gothic" w:cs="Calibri"/>
          <w:b/>
          <w:bCs/>
          <w:color w:val="000000"/>
          <w:lang w:val="es-ES"/>
        </w:rPr>
      </w:pPr>
    </w:p>
    <w:p w14:paraId="50A21C9B" w14:textId="77777777" w:rsidR="00395278" w:rsidRPr="00810BA4" w:rsidRDefault="00395278">
      <w:pPr>
        <w:tabs>
          <w:tab w:val="left" w:pos="2760"/>
        </w:tabs>
        <w:rPr>
          <w:lang w:val="es-ES"/>
        </w:rPr>
      </w:pPr>
    </w:p>
    <w:sectPr w:rsidR="00395278" w:rsidRPr="00810BA4">
      <w:footerReference w:type="defaul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7BCD8" w14:textId="77777777" w:rsidR="00B43D04" w:rsidRDefault="00B43D04">
      <w:pPr>
        <w:spacing w:line="240" w:lineRule="auto"/>
      </w:pPr>
      <w:r>
        <w:separator/>
      </w:r>
    </w:p>
  </w:endnote>
  <w:endnote w:type="continuationSeparator" w:id="0">
    <w:p w14:paraId="3E894CA6" w14:textId="77777777" w:rsidR="00B43D04" w:rsidRDefault="00B43D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1" w:fontKey="{E86B8432-E8B4-403E-92F9-57E764DD9BC3}"/>
    <w:embedBold r:id="rId2" w:fontKey="{3788C08E-3C49-4832-B2C3-3836F9FA59C3}"/>
    <w:embedItalic r:id="rId3" w:fontKey="{6BD5A45E-AA62-4316-88CA-4557275FBD9A}"/>
    <w:embedBoldItalic r:id="rId4" w:fontKey="{A74323B6-459E-4255-802F-F33F79E4D59F}"/>
  </w:font>
  <w:font w:name="Tahoma">
    <w:panose1 w:val="020B0604030504040204"/>
    <w:charset w:val="00"/>
    <w:family w:val="swiss"/>
    <w:pitch w:val="variable"/>
    <w:sig w:usb0="E1002EFF" w:usb1="C000605B" w:usb2="00000029" w:usb3="00000000" w:csb0="000101FF" w:csb1="00000000"/>
    <w:embedRegular r:id="rId5" w:fontKey="{CBC8D586-8716-4701-A9F6-35B72E3F2E80}"/>
  </w:font>
  <w:font w:name="Calibri">
    <w:panose1 w:val="020F0502020204030204"/>
    <w:charset w:val="00"/>
    <w:family w:val="swiss"/>
    <w:pitch w:val="variable"/>
    <w:sig w:usb0="E4002EFF" w:usb1="C200247B" w:usb2="00000009" w:usb3="00000000" w:csb0="000001FF" w:csb1="00000000"/>
    <w:embedRegular r:id="rId6" w:fontKey="{11C39CA3-4903-42C7-B070-698C2AE3D689}"/>
    <w:embedBold r:id="rId7" w:fontKey="{0531C1B0-7293-4CF3-A24F-EA633DB043BE}"/>
  </w:font>
  <w:font w:name="Georgia">
    <w:panose1 w:val="02040502050405020303"/>
    <w:charset w:val="00"/>
    <w:family w:val="roman"/>
    <w:pitch w:val="variable"/>
    <w:sig w:usb0="00000287" w:usb1="00000000" w:usb2="00000000" w:usb3="00000000" w:csb0="0000009F" w:csb1="00000000"/>
    <w:embedRegular r:id="rId8" w:fontKey="{32CE6F82-CDE3-4BA5-9410-AA2EDB04DF9B}"/>
    <w:embedItalic r:id="rId9" w:fontKey="{6EC77576-D9B6-4BC2-8C62-BE568AE9D685}"/>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embedRegular r:id="rId10" w:fontKey="{1BC08C74-2C51-46D9-A528-1A006EA481E3}"/>
  </w:font>
  <w:font w:name="Aptos">
    <w:charset w:val="00"/>
    <w:family w:val="swiss"/>
    <w:pitch w:val="variable"/>
    <w:sig w:usb0="20000287" w:usb1="00000003" w:usb2="00000000" w:usb3="00000000" w:csb0="0000019F" w:csb1="00000000"/>
    <w:embedRegular r:id="rId11" w:fontKey="{FFC999E8-1632-46CD-BD24-FF5CED797B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5193" w14:textId="77777777" w:rsidR="0034131E" w:rsidRDefault="00E660F9">
    <w:pPr>
      <w:pBdr>
        <w:top w:val="nil"/>
        <w:left w:val="nil"/>
        <w:bottom w:val="nil"/>
        <w:right w:val="nil"/>
        <w:between w:val="nil"/>
      </w:pBdr>
      <w:tabs>
        <w:tab w:val="center" w:pos="4536"/>
        <w:tab w:val="right" w:pos="9072"/>
      </w:tabs>
      <w:spacing w:line="240" w:lineRule="auto"/>
    </w:pPr>
    <w:r>
      <w:rPr>
        <w:noProof/>
      </w:rPr>
      <w:drawing>
        <wp:anchor distT="0" distB="0" distL="114300" distR="114300" simplePos="0" relativeHeight="251658240" behindDoc="0" locked="0" layoutInCell="1" hidden="0" allowOverlap="1" wp14:anchorId="3B5CB540" wp14:editId="6EA21FCE">
          <wp:simplePos x="0" y="0"/>
          <wp:positionH relativeFrom="column">
            <wp:posOffset>1</wp:posOffset>
          </wp:positionH>
          <wp:positionV relativeFrom="paragraph">
            <wp:posOffset>0</wp:posOffset>
          </wp:positionV>
          <wp:extent cx="525697" cy="337303"/>
          <wp:effectExtent l="0" t="0" r="0" b="0"/>
          <wp:wrapNone/>
          <wp:docPr id="827937672"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a:stretch>
                    <a:fillRect/>
                  </a:stretch>
                </pic:blipFill>
                <pic:spPr>
                  <a:xfrm>
                    <a:off x="0" y="0"/>
                    <a:ext cx="525697" cy="3373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F6FFF" w14:textId="77777777" w:rsidR="00B43D04" w:rsidRDefault="00B43D04">
      <w:pPr>
        <w:spacing w:line="240" w:lineRule="auto"/>
      </w:pPr>
      <w:r>
        <w:separator/>
      </w:r>
    </w:p>
  </w:footnote>
  <w:footnote w:type="continuationSeparator" w:id="0">
    <w:p w14:paraId="400FDA3C" w14:textId="77777777" w:rsidR="00B43D04" w:rsidRDefault="00B43D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54FB0"/>
    <w:multiLevelType w:val="multilevel"/>
    <w:tmpl w:val="99C81776"/>
    <w:lvl w:ilvl="0">
      <w:start w:val="1"/>
      <w:numFmt w:val="decimal"/>
      <w:pStyle w:val="Box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B866DFC"/>
    <w:multiLevelType w:val="multilevel"/>
    <w:tmpl w:val="7BEEF018"/>
    <w:lvl w:ilvl="0">
      <w:start w:val="1"/>
      <w:numFmt w:val="bullet"/>
      <w:pStyle w:val="BulletLead-in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124785"/>
    <w:multiLevelType w:val="multilevel"/>
    <w:tmpl w:val="EA4053AA"/>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D81B8E"/>
    <w:multiLevelType w:val="hybridMultilevel"/>
    <w:tmpl w:val="7722DF90"/>
    <w:lvl w:ilvl="0" w:tplc="AC9EDCC8">
      <w:start w:val="1"/>
      <w:numFmt w:val="bullet"/>
      <w:lvlText w:val=""/>
      <w:lvlJc w:val="left"/>
      <w:pPr>
        <w:ind w:left="1068" w:hanging="360"/>
      </w:pPr>
      <w:rPr>
        <w:rFonts w:ascii="Symbol" w:hAnsi="Symbol" w:hint="default"/>
        <w:color w:val="000000"/>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num w:numId="1" w16cid:durableId="1540246018">
    <w:abstractNumId w:val="1"/>
  </w:num>
  <w:num w:numId="2" w16cid:durableId="620915189">
    <w:abstractNumId w:val="0"/>
  </w:num>
  <w:num w:numId="3" w16cid:durableId="950282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8531176">
    <w:abstractNumId w:val="3"/>
    <w:lvlOverride w:ilvl="0"/>
    <w:lvlOverride w:ilvl="1"/>
    <w:lvlOverride w:ilvl="2"/>
    <w:lvlOverride w:ilvl="3"/>
    <w:lvlOverride w:ilvl="4"/>
    <w:lvlOverride w:ilvl="5"/>
    <w:lvlOverride w:ilvl="6"/>
    <w:lvlOverride w:ilvl="7"/>
    <w:lvlOverride w:ilvl="8"/>
  </w:num>
  <w:num w:numId="5" w16cid:durableId="162327028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31E"/>
    <w:rsid w:val="00001131"/>
    <w:rsid w:val="00022255"/>
    <w:rsid w:val="000323C6"/>
    <w:rsid w:val="00035309"/>
    <w:rsid w:val="000417DA"/>
    <w:rsid w:val="000512F0"/>
    <w:rsid w:val="00053526"/>
    <w:rsid w:val="0005490B"/>
    <w:rsid w:val="00054F03"/>
    <w:rsid w:val="000873EB"/>
    <w:rsid w:val="00092205"/>
    <w:rsid w:val="000A4CBF"/>
    <w:rsid w:val="000F4162"/>
    <w:rsid w:val="00106125"/>
    <w:rsid w:val="00124824"/>
    <w:rsid w:val="00125440"/>
    <w:rsid w:val="001325F8"/>
    <w:rsid w:val="001361C7"/>
    <w:rsid w:val="001509D5"/>
    <w:rsid w:val="001533EB"/>
    <w:rsid w:val="001724EC"/>
    <w:rsid w:val="0017574A"/>
    <w:rsid w:val="0018413A"/>
    <w:rsid w:val="00196D68"/>
    <w:rsid w:val="001B3304"/>
    <w:rsid w:val="001C4938"/>
    <w:rsid w:val="001D2A91"/>
    <w:rsid w:val="001D65D3"/>
    <w:rsid w:val="001E738B"/>
    <w:rsid w:val="001F79A2"/>
    <w:rsid w:val="00202F85"/>
    <w:rsid w:val="00240C55"/>
    <w:rsid w:val="002665DB"/>
    <w:rsid w:val="002A08A5"/>
    <w:rsid w:val="002AC8F9"/>
    <w:rsid w:val="002D4BFB"/>
    <w:rsid w:val="002E2116"/>
    <w:rsid w:val="00306C54"/>
    <w:rsid w:val="00323902"/>
    <w:rsid w:val="0034131E"/>
    <w:rsid w:val="003470F9"/>
    <w:rsid w:val="00350B2A"/>
    <w:rsid w:val="003530F0"/>
    <w:rsid w:val="00372049"/>
    <w:rsid w:val="00372C87"/>
    <w:rsid w:val="00395278"/>
    <w:rsid w:val="0039534F"/>
    <w:rsid w:val="003C0022"/>
    <w:rsid w:val="003D2293"/>
    <w:rsid w:val="003D5524"/>
    <w:rsid w:val="003E2FB8"/>
    <w:rsid w:val="003E7120"/>
    <w:rsid w:val="00427E2A"/>
    <w:rsid w:val="004402DC"/>
    <w:rsid w:val="0045496E"/>
    <w:rsid w:val="004B6C7F"/>
    <w:rsid w:val="004D721E"/>
    <w:rsid w:val="004E5017"/>
    <w:rsid w:val="00550198"/>
    <w:rsid w:val="005667E4"/>
    <w:rsid w:val="0057489F"/>
    <w:rsid w:val="00582CBC"/>
    <w:rsid w:val="00584BD2"/>
    <w:rsid w:val="00584EC4"/>
    <w:rsid w:val="005A0C33"/>
    <w:rsid w:val="005A49F7"/>
    <w:rsid w:val="005D09EE"/>
    <w:rsid w:val="005D5C33"/>
    <w:rsid w:val="005E195F"/>
    <w:rsid w:val="00600759"/>
    <w:rsid w:val="006053DD"/>
    <w:rsid w:val="00605A7B"/>
    <w:rsid w:val="006662D7"/>
    <w:rsid w:val="006D0E3A"/>
    <w:rsid w:val="00705CB8"/>
    <w:rsid w:val="00714118"/>
    <w:rsid w:val="007142AE"/>
    <w:rsid w:val="0071623A"/>
    <w:rsid w:val="00720D3A"/>
    <w:rsid w:val="00726216"/>
    <w:rsid w:val="007464E8"/>
    <w:rsid w:val="007526FE"/>
    <w:rsid w:val="00754BD4"/>
    <w:rsid w:val="007624FC"/>
    <w:rsid w:val="007A254F"/>
    <w:rsid w:val="007A4627"/>
    <w:rsid w:val="007B551B"/>
    <w:rsid w:val="007C14D6"/>
    <w:rsid w:val="007D1E1B"/>
    <w:rsid w:val="007E0322"/>
    <w:rsid w:val="0080549B"/>
    <w:rsid w:val="00810BA4"/>
    <w:rsid w:val="0081117A"/>
    <w:rsid w:val="00833D4F"/>
    <w:rsid w:val="0084066C"/>
    <w:rsid w:val="00857B31"/>
    <w:rsid w:val="00867695"/>
    <w:rsid w:val="0089688A"/>
    <w:rsid w:val="008B3796"/>
    <w:rsid w:val="008B41AE"/>
    <w:rsid w:val="008C5C42"/>
    <w:rsid w:val="008D4734"/>
    <w:rsid w:val="008D77A2"/>
    <w:rsid w:val="008F64D6"/>
    <w:rsid w:val="00936408"/>
    <w:rsid w:val="009437D4"/>
    <w:rsid w:val="009512BE"/>
    <w:rsid w:val="009A6777"/>
    <w:rsid w:val="00A12632"/>
    <w:rsid w:val="00A329FB"/>
    <w:rsid w:val="00A446DD"/>
    <w:rsid w:val="00A458BE"/>
    <w:rsid w:val="00A50C82"/>
    <w:rsid w:val="00A514EC"/>
    <w:rsid w:val="00A51A29"/>
    <w:rsid w:val="00A63651"/>
    <w:rsid w:val="00A6484B"/>
    <w:rsid w:val="00A67411"/>
    <w:rsid w:val="00A76561"/>
    <w:rsid w:val="00A95D2A"/>
    <w:rsid w:val="00AE6FF0"/>
    <w:rsid w:val="00B35B98"/>
    <w:rsid w:val="00B43D04"/>
    <w:rsid w:val="00BA70E9"/>
    <w:rsid w:val="00BB29B5"/>
    <w:rsid w:val="00BE1228"/>
    <w:rsid w:val="00C03BAF"/>
    <w:rsid w:val="00C07913"/>
    <w:rsid w:val="00C355E6"/>
    <w:rsid w:val="00C53F92"/>
    <w:rsid w:val="00C54FD6"/>
    <w:rsid w:val="00C75B21"/>
    <w:rsid w:val="00CA154F"/>
    <w:rsid w:val="00CA6FAD"/>
    <w:rsid w:val="00CB3941"/>
    <w:rsid w:val="00CB791B"/>
    <w:rsid w:val="00CE15AF"/>
    <w:rsid w:val="00D339B9"/>
    <w:rsid w:val="00D60657"/>
    <w:rsid w:val="00D77A2F"/>
    <w:rsid w:val="00D803AC"/>
    <w:rsid w:val="00D87718"/>
    <w:rsid w:val="00D91B81"/>
    <w:rsid w:val="00D92E54"/>
    <w:rsid w:val="00DA44E2"/>
    <w:rsid w:val="00DB05D1"/>
    <w:rsid w:val="00DD5276"/>
    <w:rsid w:val="00DE0B37"/>
    <w:rsid w:val="00DF1697"/>
    <w:rsid w:val="00E21E9B"/>
    <w:rsid w:val="00E22330"/>
    <w:rsid w:val="00E36C9E"/>
    <w:rsid w:val="00E62368"/>
    <w:rsid w:val="00E660F9"/>
    <w:rsid w:val="00E73445"/>
    <w:rsid w:val="00E82000"/>
    <w:rsid w:val="00E847E1"/>
    <w:rsid w:val="00E87CFB"/>
    <w:rsid w:val="00EA5BD2"/>
    <w:rsid w:val="00EB2FEF"/>
    <w:rsid w:val="00ED7249"/>
    <w:rsid w:val="00EE2FCB"/>
    <w:rsid w:val="00F06410"/>
    <w:rsid w:val="00F127EF"/>
    <w:rsid w:val="00F205CD"/>
    <w:rsid w:val="00F22467"/>
    <w:rsid w:val="00F30A2E"/>
    <w:rsid w:val="00F348CD"/>
    <w:rsid w:val="00F43594"/>
    <w:rsid w:val="00F44031"/>
    <w:rsid w:val="00F539A2"/>
    <w:rsid w:val="00F65124"/>
    <w:rsid w:val="00F71D13"/>
    <w:rsid w:val="00F964D3"/>
    <w:rsid w:val="00FC5675"/>
    <w:rsid w:val="00FE17FD"/>
    <w:rsid w:val="00FE7B55"/>
    <w:rsid w:val="09EFB7A2"/>
    <w:rsid w:val="1DD92EDD"/>
    <w:rsid w:val="34FEDFA7"/>
    <w:rsid w:val="369F593A"/>
    <w:rsid w:val="374C9155"/>
    <w:rsid w:val="383814D8"/>
    <w:rsid w:val="3C53924A"/>
    <w:rsid w:val="41641B85"/>
    <w:rsid w:val="4959E5F3"/>
    <w:rsid w:val="4BE621DD"/>
    <w:rsid w:val="5305EDC2"/>
    <w:rsid w:val="5DA99854"/>
    <w:rsid w:val="663B0077"/>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4EEC3"/>
  <w15:docId w15:val="{36A0D379-0979-4206-B11B-EA849324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1204C"/>
        <w:lang w:val="fr-F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pPr>
    <w:rPr>
      <w:lang w:eastAsia="en-US"/>
    </w:rPr>
  </w:style>
  <w:style w:type="paragraph" w:styleId="Ttulo1">
    <w:name w:val="heading 1"/>
    <w:basedOn w:val="Normal"/>
    <w:next w:val="Normal"/>
    <w:uiPriority w:val="9"/>
    <w:qFormat/>
    <w:pPr>
      <w:keepNext/>
      <w:keepLines/>
      <w:spacing w:before="480" w:line="276" w:lineRule="auto"/>
      <w:ind w:left="708"/>
      <w:outlineLvl w:val="0"/>
    </w:pPr>
    <w:rPr>
      <w:rFonts w:eastAsia="MS Gothic"/>
      <w:b/>
      <w:bCs/>
      <w:color w:val="17153B"/>
      <w:sz w:val="28"/>
      <w:szCs w:val="28"/>
      <w:lang w:val="en-US"/>
    </w:rPr>
  </w:style>
  <w:style w:type="paragraph" w:styleId="Ttulo2">
    <w:name w:val="heading 2"/>
    <w:basedOn w:val="Normal"/>
    <w:next w:val="Normal"/>
    <w:uiPriority w:val="9"/>
    <w:semiHidden/>
    <w:unhideWhenUsed/>
    <w:qFormat/>
    <w:pPr>
      <w:keepNext/>
      <w:keepLines/>
      <w:spacing w:before="200" w:line="276" w:lineRule="auto"/>
      <w:ind w:left="708"/>
      <w:outlineLvl w:val="1"/>
    </w:pPr>
    <w:rPr>
      <w:rFonts w:eastAsia="MS Gothic"/>
      <w:b/>
      <w:bCs/>
      <w:color w:val="201C50"/>
      <w:sz w:val="26"/>
      <w:szCs w:val="26"/>
      <w:lang w:val="en-US"/>
    </w:rPr>
  </w:style>
  <w:style w:type="paragraph" w:styleId="Ttulo3">
    <w:name w:val="heading 3"/>
    <w:basedOn w:val="Normal"/>
    <w:next w:val="Normal"/>
    <w:uiPriority w:val="9"/>
    <w:semiHidden/>
    <w:unhideWhenUsed/>
    <w:qFormat/>
    <w:pPr>
      <w:keepNext/>
      <w:keepLines/>
      <w:spacing w:before="200" w:line="276" w:lineRule="auto"/>
      <w:ind w:left="708"/>
      <w:outlineLvl w:val="2"/>
    </w:pPr>
    <w:rPr>
      <w:rFonts w:eastAsia="MS Gothic"/>
      <w:b/>
      <w:bCs/>
      <w:color w:val="201C50"/>
      <w:szCs w:val="22"/>
      <w:lang w:val="en-U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pPr>
      <w:spacing w:line="240" w:lineRule="auto"/>
    </w:pPr>
    <w:rPr>
      <w:rFonts w:ascii="Century Gothic" w:hAnsi="Century Gothic"/>
      <w:color w:val="auto"/>
      <w:sz w:val="28"/>
    </w:rPr>
  </w:style>
  <w:style w:type="paragraph" w:styleId="Piedepgina">
    <w:name w:val="footer"/>
    <w:basedOn w:val="Normal"/>
    <w:pPr>
      <w:tabs>
        <w:tab w:val="center" w:pos="4536"/>
        <w:tab w:val="right" w:pos="9072"/>
      </w:tabs>
      <w:spacing w:line="240" w:lineRule="auto"/>
    </w:pPr>
  </w:style>
  <w:style w:type="paragraph" w:customStyle="1" w:styleId="EdenredDate">
    <w:name w:val="Edenred Date"/>
    <w:basedOn w:val="Encabezado"/>
    <w:pPr>
      <w:jc w:val="right"/>
    </w:pPr>
    <w:rPr>
      <w:sz w:val="20"/>
    </w:rPr>
  </w:style>
  <w:style w:type="paragraph" w:customStyle="1" w:styleId="EdenredTitle">
    <w:name w:val="Edenred Title"/>
    <w:basedOn w:val="Text"/>
    <w:rPr>
      <w:color w:val="162056"/>
      <w:sz w:val="40"/>
      <w:szCs w:val="40"/>
    </w:rPr>
  </w:style>
  <w:style w:type="paragraph" w:customStyle="1" w:styleId="Edenredsubtitle">
    <w:name w:val="Edenred subtitle"/>
    <w:basedOn w:val="Normal"/>
    <w:pPr>
      <w:spacing w:line="254" w:lineRule="auto"/>
      <w:jc w:val="both"/>
    </w:pPr>
    <w:rPr>
      <w:rFonts w:ascii="Century Gothic" w:hAnsi="Century Gothic"/>
      <w:color w:val="003591"/>
      <w:sz w:val="30"/>
      <w:szCs w:val="30"/>
      <w:lang w:val="en-US"/>
    </w:rPr>
  </w:style>
  <w:style w:type="paragraph" w:customStyle="1" w:styleId="Text">
    <w:name w:val="Text"/>
    <w:basedOn w:val="Normal"/>
    <w:pPr>
      <w:spacing w:line="254" w:lineRule="auto"/>
      <w:jc w:val="both"/>
    </w:pPr>
    <w:rPr>
      <w:rFonts w:ascii="Century Gothic" w:hAnsi="Century Gothic"/>
      <w:color w:val="auto"/>
      <w:lang w:val="en-US"/>
    </w:rPr>
  </w:style>
  <w:style w:type="character" w:customStyle="1" w:styleId="PiedepginaCar">
    <w:name w:val="Pie de página Car"/>
    <w:basedOn w:val="Fuentedeprrafopredeter"/>
    <w:rPr>
      <w:rFonts w:ascii="Arial" w:hAnsi="Arial"/>
      <w:color w:val="11204C"/>
      <w:lang w:eastAsia="en-US"/>
    </w:rPr>
  </w:style>
  <w:style w:type="paragraph" w:styleId="Textodeglobo">
    <w:name w:val="Balloon Text"/>
    <w:basedOn w:val="Normal"/>
    <w:pPr>
      <w:spacing w:line="240" w:lineRule="auto"/>
    </w:pPr>
    <w:rPr>
      <w:rFonts w:ascii="Tahoma" w:hAnsi="Tahoma" w:cs="Tahoma"/>
      <w:sz w:val="16"/>
      <w:szCs w:val="16"/>
    </w:rPr>
  </w:style>
  <w:style w:type="character" w:customStyle="1" w:styleId="TextodegloboCar">
    <w:name w:val="Texto de globo Car"/>
    <w:rPr>
      <w:rFonts w:ascii="Tahoma" w:hAnsi="Tahoma" w:cs="Tahoma"/>
      <w:color w:val="11204C"/>
      <w:sz w:val="16"/>
      <w:szCs w:val="16"/>
      <w:lang w:eastAsia="en-US"/>
    </w:rPr>
  </w:style>
  <w:style w:type="paragraph" w:customStyle="1" w:styleId="Page">
    <w:name w:val="Page"/>
    <w:basedOn w:val="Normal"/>
    <w:pPr>
      <w:jc w:val="right"/>
    </w:pPr>
    <w:rPr>
      <w:sz w:val="16"/>
    </w:rPr>
  </w:style>
  <w:style w:type="character" w:customStyle="1" w:styleId="TextCar">
    <w:name w:val="Text Car"/>
    <w:rPr>
      <w:rFonts w:ascii="Century Gothic" w:hAnsi="Century Gothic" w:cs="Arial"/>
      <w:lang w:val="en-US" w:eastAsia="en-US"/>
    </w:rPr>
  </w:style>
  <w:style w:type="paragraph" w:styleId="Textonotapie">
    <w:name w:val="footnote text"/>
    <w:basedOn w:val="Normal"/>
    <w:pPr>
      <w:spacing w:line="240" w:lineRule="auto"/>
    </w:pPr>
    <w:rPr>
      <w:rFonts w:ascii="Century Gothic" w:hAnsi="Century Gothic"/>
      <w:color w:val="auto"/>
      <w:sz w:val="14"/>
    </w:rPr>
  </w:style>
  <w:style w:type="character" w:customStyle="1" w:styleId="TextonotapieCar">
    <w:name w:val="Texto nota pie Car"/>
    <w:rPr>
      <w:rFonts w:ascii="Century Gothic" w:hAnsi="Century Gothic"/>
      <w:sz w:val="14"/>
      <w:lang w:eastAsia="en-US"/>
    </w:rPr>
  </w:style>
  <w:style w:type="character" w:styleId="Refdenotaalpie">
    <w:name w:val="footnote reference"/>
    <w:rPr>
      <w:position w:val="0"/>
      <w:vertAlign w:val="superscript"/>
    </w:rPr>
  </w:style>
  <w:style w:type="character" w:customStyle="1" w:styleId="Ttulo1Car">
    <w:name w:val="Título 1 Car"/>
    <w:rPr>
      <w:rFonts w:ascii="Arial" w:eastAsia="MS Gothic" w:hAnsi="Arial"/>
      <w:b/>
      <w:bCs/>
      <w:color w:val="17153B"/>
      <w:sz w:val="28"/>
      <w:szCs w:val="28"/>
      <w:lang w:val="en-US" w:eastAsia="en-US"/>
    </w:rPr>
  </w:style>
  <w:style w:type="character" w:customStyle="1" w:styleId="Ttulo2Car">
    <w:name w:val="Título 2 Car"/>
    <w:rPr>
      <w:rFonts w:ascii="Arial" w:eastAsia="MS Gothic" w:hAnsi="Arial"/>
      <w:b/>
      <w:bCs/>
      <w:color w:val="201C50"/>
      <w:sz w:val="26"/>
      <w:szCs w:val="26"/>
      <w:lang w:val="en-US" w:eastAsia="en-US"/>
    </w:rPr>
  </w:style>
  <w:style w:type="character" w:customStyle="1" w:styleId="Ttulo3Car">
    <w:name w:val="Título 3 Car"/>
    <w:rPr>
      <w:rFonts w:ascii="Arial" w:eastAsia="MS Gothic" w:hAnsi="Arial"/>
      <w:b/>
      <w:bCs/>
      <w:color w:val="201C50"/>
      <w:szCs w:val="22"/>
      <w:lang w:val="en-US" w:eastAsia="en-US"/>
    </w:rPr>
  </w:style>
  <w:style w:type="paragraph" w:customStyle="1" w:styleId="Title1">
    <w:name w:val="Title 1"/>
    <w:basedOn w:val="Normal"/>
    <w:pPr>
      <w:spacing w:line="254" w:lineRule="auto"/>
      <w:jc w:val="both"/>
    </w:pPr>
    <w:rPr>
      <w:rFonts w:ascii="Century Gothic" w:hAnsi="Century Gothic"/>
      <w:b/>
      <w:color w:val="003591"/>
      <w:sz w:val="28"/>
      <w:szCs w:val="28"/>
      <w:lang w:val="en-US" w:eastAsia="fr-FR"/>
    </w:rPr>
  </w:style>
  <w:style w:type="character" w:customStyle="1" w:styleId="Title1Car">
    <w:name w:val="Title 1 Car"/>
    <w:rPr>
      <w:rFonts w:ascii="Century Gothic" w:hAnsi="Century Gothic" w:cs="Arial"/>
      <w:b/>
      <w:color w:val="003591"/>
      <w:sz w:val="28"/>
      <w:szCs w:val="28"/>
      <w:lang w:val="en-US"/>
    </w:rPr>
  </w:style>
  <w:style w:type="paragraph" w:customStyle="1" w:styleId="Title2">
    <w:name w:val="Title 2"/>
    <w:basedOn w:val="Normal"/>
    <w:next w:val="Normal"/>
    <w:pPr>
      <w:spacing w:line="276" w:lineRule="auto"/>
      <w:jc w:val="both"/>
    </w:pPr>
    <w:rPr>
      <w:rFonts w:ascii="Century Gothic" w:hAnsi="Century Gothic"/>
      <w:b/>
      <w:color w:val="003591"/>
      <w:sz w:val="24"/>
      <w:szCs w:val="24"/>
      <w:lang w:val="en-US"/>
    </w:rPr>
  </w:style>
  <w:style w:type="character" w:customStyle="1" w:styleId="Title2Car">
    <w:name w:val="Title 2 Car"/>
    <w:rPr>
      <w:rFonts w:ascii="Century Gothic" w:hAnsi="Century Gothic" w:cs="Arial"/>
      <w:b/>
      <w:color w:val="003591"/>
      <w:sz w:val="24"/>
      <w:szCs w:val="24"/>
      <w:lang w:val="en-US" w:eastAsia="en-US"/>
    </w:rPr>
  </w:style>
  <w:style w:type="paragraph" w:customStyle="1" w:styleId="BulletLead-in1">
    <w:name w:val="Bullet Lead-in 1"/>
    <w:basedOn w:val="Normal"/>
    <w:pPr>
      <w:spacing w:line="254" w:lineRule="auto"/>
      <w:contextualSpacing/>
      <w:jc w:val="both"/>
    </w:pPr>
    <w:rPr>
      <w:rFonts w:ascii="Century Gothic" w:hAnsi="Century Gothic"/>
      <w:b/>
      <w:color w:val="auto"/>
      <w:lang w:val="en-US"/>
    </w:rPr>
  </w:style>
  <w:style w:type="character" w:customStyle="1" w:styleId="BulletLead-in1Car">
    <w:name w:val="Bullet Lead-in 1 Car"/>
    <w:rPr>
      <w:rFonts w:ascii="Century Gothic" w:hAnsi="Century Gothic" w:cs="Arial"/>
      <w:b/>
      <w:lang w:val="en-US" w:eastAsia="en-US"/>
    </w:rPr>
  </w:style>
  <w:style w:type="paragraph" w:customStyle="1" w:styleId="BulletLead-in2">
    <w:name w:val="Bullet Lead-in 2"/>
    <w:basedOn w:val="Normal"/>
    <w:pPr>
      <w:numPr>
        <w:numId w:val="1"/>
      </w:numPr>
    </w:pPr>
    <w:rPr>
      <w:rFonts w:ascii="Century Gothic" w:hAnsi="Century Gothic"/>
      <w:color w:val="auto"/>
    </w:rPr>
  </w:style>
  <w:style w:type="character" w:customStyle="1" w:styleId="BulletLead-in2Car">
    <w:name w:val="Bullet Lead-in 2 Car"/>
    <w:rPr>
      <w:rFonts w:ascii="Century Gothic" w:hAnsi="Century Gothic"/>
      <w:lang w:eastAsia="en-US"/>
    </w:rPr>
  </w:style>
  <w:style w:type="paragraph" w:styleId="TtuloTDC">
    <w:name w:val="TOC Heading"/>
    <w:basedOn w:val="Ttulo1"/>
    <w:next w:val="Normal"/>
    <w:rPr>
      <w:lang w:eastAsia="fr-FR"/>
    </w:rPr>
  </w:style>
  <w:style w:type="paragraph" w:styleId="Textoindependiente">
    <w:name w:val="Body Text"/>
    <w:basedOn w:val="Normal"/>
    <w:pPr>
      <w:spacing w:after="120" w:line="276" w:lineRule="auto"/>
      <w:ind w:left="708"/>
    </w:pPr>
    <w:rPr>
      <w:color w:val="002060"/>
      <w:szCs w:val="22"/>
      <w:lang w:val="en-US"/>
    </w:rPr>
  </w:style>
  <w:style w:type="character" w:customStyle="1" w:styleId="TextoindependienteCar">
    <w:name w:val="Texto independiente Car"/>
    <w:rPr>
      <w:rFonts w:ascii="Arial" w:eastAsia="Arial" w:hAnsi="Arial"/>
      <w:color w:val="002060"/>
      <w:szCs w:val="22"/>
      <w:lang w:val="en-US" w:eastAsia="en-US"/>
    </w:rPr>
  </w:style>
  <w:style w:type="character" w:customStyle="1" w:styleId="EncabezadoCar">
    <w:name w:val="Encabezado Car"/>
    <w:rPr>
      <w:rFonts w:ascii="Century Gothic" w:hAnsi="Century Gothic"/>
      <w:sz w:val="28"/>
      <w:lang w:eastAsia="en-US"/>
    </w:rPr>
  </w:style>
  <w:style w:type="character" w:styleId="Hipervnculo">
    <w:name w:val="Hyperlink"/>
    <w:rPr>
      <w:color w:val="55517B"/>
    </w:rPr>
  </w:style>
  <w:style w:type="paragraph" w:styleId="Textonotaalfinal">
    <w:name w:val="endnote text"/>
    <w:basedOn w:val="Normal"/>
    <w:pPr>
      <w:spacing w:line="240" w:lineRule="auto"/>
      <w:ind w:left="708"/>
    </w:pPr>
    <w:rPr>
      <w:color w:val="002060"/>
      <w:lang w:val="en-US"/>
    </w:rPr>
  </w:style>
  <w:style w:type="character" w:customStyle="1" w:styleId="TextonotaalfinalCar">
    <w:name w:val="Texto nota al final Car"/>
    <w:rPr>
      <w:rFonts w:ascii="Arial" w:eastAsia="Arial" w:hAnsi="Arial"/>
      <w:color w:val="002060"/>
      <w:lang w:val="en-US" w:eastAsia="en-US"/>
    </w:rPr>
  </w:style>
  <w:style w:type="character" w:styleId="Refdenotaalfinal">
    <w:name w:val="endnote reference"/>
    <w:rPr>
      <w:position w:val="0"/>
      <w:vertAlign w:val="superscript"/>
    </w:rPr>
  </w:style>
  <w:style w:type="character" w:styleId="Refdecomentario">
    <w:name w:val="annotation reference"/>
    <w:rPr>
      <w:sz w:val="16"/>
      <w:szCs w:val="16"/>
    </w:rPr>
  </w:style>
  <w:style w:type="paragraph" w:styleId="Textocomentario">
    <w:name w:val="annotation text"/>
    <w:basedOn w:val="Normal"/>
    <w:pPr>
      <w:spacing w:after="200" w:line="240" w:lineRule="auto"/>
      <w:ind w:left="708"/>
    </w:pPr>
    <w:rPr>
      <w:color w:val="002060"/>
      <w:lang w:val="en-US"/>
    </w:rPr>
  </w:style>
  <w:style w:type="character" w:customStyle="1" w:styleId="TextocomentarioCar">
    <w:name w:val="Texto comentario Car"/>
    <w:rPr>
      <w:rFonts w:ascii="Arial" w:eastAsia="Arial" w:hAnsi="Arial"/>
      <w:color w:val="002060"/>
      <w:lang w:val="en-US" w:eastAsia="en-US"/>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rFonts w:ascii="Arial" w:eastAsia="Arial" w:hAnsi="Arial"/>
      <w:b/>
      <w:bCs/>
      <w:color w:val="002060"/>
      <w:lang w:val="en-US" w:eastAsia="en-US"/>
    </w:rPr>
  </w:style>
  <w:style w:type="paragraph" w:styleId="Revisin">
    <w:name w:val="Revision"/>
    <w:pPr>
      <w:suppressAutoHyphens/>
    </w:pPr>
    <w:rPr>
      <w:color w:val="002060"/>
      <w:szCs w:val="22"/>
      <w:lang w:val="en-US" w:eastAsia="en-US"/>
    </w:rPr>
  </w:style>
  <w:style w:type="character" w:styleId="Hipervnculovisitado">
    <w:name w:val="FollowedHyperlink"/>
    <w:rPr>
      <w:color w:val="0F004E"/>
      <w:u w:val="single"/>
    </w:rPr>
  </w:style>
  <w:style w:type="paragraph" w:customStyle="1" w:styleId="Tablecaptiontext">
    <w:name w:val="Table caption text"/>
    <w:basedOn w:val="Normal"/>
    <w:pPr>
      <w:spacing w:line="260" w:lineRule="exact"/>
      <w:ind w:right="113"/>
    </w:pPr>
    <w:rPr>
      <w:rFonts w:ascii="Century Gothic" w:hAnsi="Century Gothic"/>
      <w:color w:val="auto"/>
      <w:sz w:val="16"/>
      <w:lang w:val="en-GB" w:eastAsia="fr-FR"/>
    </w:rPr>
  </w:style>
  <w:style w:type="paragraph" w:customStyle="1" w:styleId="Tablecolumntitle">
    <w:name w:val="Table column title"/>
    <w:basedOn w:val="Normal"/>
    <w:pPr>
      <w:spacing w:line="260" w:lineRule="exact"/>
      <w:ind w:left="113" w:right="113"/>
      <w:jc w:val="right"/>
    </w:pPr>
    <w:rPr>
      <w:rFonts w:ascii="Century Gothic" w:hAnsi="Century Gothic"/>
      <w:color w:val="auto"/>
      <w:sz w:val="16"/>
      <w:lang w:val="en-GB" w:eastAsia="fr-FR"/>
    </w:rPr>
  </w:style>
  <w:style w:type="character" w:customStyle="1" w:styleId="BoilerPlateChar">
    <w:name w:val="Boiler Plate Char"/>
    <w:rPr>
      <w:rFonts w:ascii="Century Gothic" w:eastAsia="Calibri" w:hAnsi="Century Gothic" w:cs="Calibri"/>
      <w:sz w:val="16"/>
      <w:szCs w:val="14"/>
      <w:lang w:val="en-US" w:eastAsia="en-US"/>
    </w:rPr>
  </w:style>
  <w:style w:type="paragraph" w:customStyle="1" w:styleId="BoilerPlate">
    <w:name w:val="Boiler Plate"/>
    <w:basedOn w:val="Normal"/>
    <w:pPr>
      <w:spacing w:line="254" w:lineRule="auto"/>
      <w:jc w:val="both"/>
    </w:pPr>
    <w:rPr>
      <w:rFonts w:ascii="Century Gothic" w:eastAsia="Calibri" w:hAnsi="Century Gothic" w:cs="Calibri"/>
      <w:color w:val="auto"/>
      <w:sz w:val="16"/>
      <w:szCs w:val="14"/>
      <w:lang w:val="en-US"/>
    </w:rPr>
  </w:style>
  <w:style w:type="paragraph" w:customStyle="1" w:styleId="Pagefooter">
    <w:name w:val="Page footer"/>
    <w:basedOn w:val="Normal"/>
    <w:pPr>
      <w:spacing w:line="200" w:lineRule="exact"/>
      <w:ind w:right="-199"/>
      <w:jc w:val="right"/>
    </w:pPr>
    <w:rPr>
      <w:color w:val="D52B1E"/>
      <w:sz w:val="12"/>
      <w:lang w:eastAsia="fr-FR"/>
    </w:rPr>
  </w:style>
  <w:style w:type="paragraph" w:customStyle="1" w:styleId="Title3">
    <w:name w:val="Title 3"/>
    <w:basedOn w:val="Normal"/>
    <w:pPr>
      <w:spacing w:line="254" w:lineRule="auto"/>
    </w:pPr>
    <w:rPr>
      <w:rFonts w:ascii="Century Gothic" w:hAnsi="Century Gothic"/>
      <w:b/>
      <w:color w:val="003591"/>
      <w:lang w:val="en-US"/>
    </w:rPr>
  </w:style>
  <w:style w:type="character" w:customStyle="1" w:styleId="Title3Car">
    <w:name w:val="Title 3 Car"/>
    <w:basedOn w:val="Fuentedeprrafopredeter"/>
    <w:rPr>
      <w:rFonts w:ascii="Century Gothic" w:hAnsi="Century Gothic" w:cs="Arial"/>
      <w:b/>
      <w:color w:val="003591"/>
      <w:lang w:val="en-US" w:eastAsia="en-US"/>
    </w:rPr>
  </w:style>
  <w:style w:type="paragraph" w:customStyle="1" w:styleId="Lead-in">
    <w:name w:val="Lead-in"/>
    <w:basedOn w:val="Text"/>
  </w:style>
  <w:style w:type="character" w:customStyle="1" w:styleId="Lead-inCar">
    <w:name w:val="Lead-in Car"/>
    <w:basedOn w:val="TextCar"/>
    <w:rPr>
      <w:rFonts w:ascii="Century Gothic" w:hAnsi="Century Gothic" w:cs="Arial"/>
      <w:lang w:val="en-US" w:eastAsia="en-US"/>
    </w:rPr>
  </w:style>
  <w:style w:type="paragraph" w:customStyle="1" w:styleId="BoxBullet1">
    <w:name w:val="Box Bullet 1"/>
    <w:pPr>
      <w:numPr>
        <w:numId w:val="2"/>
      </w:numPr>
      <w:suppressAutoHyphens/>
    </w:pPr>
    <w:rPr>
      <w:rFonts w:ascii="Century Gothic" w:hAnsi="Century Gothic"/>
      <w:b/>
      <w:color w:val="003591"/>
      <w:lang w:val="en-US"/>
    </w:rPr>
  </w:style>
  <w:style w:type="paragraph" w:styleId="Prrafodelista">
    <w:name w:val="List Paragraph"/>
    <w:basedOn w:val="Normal"/>
    <w:uiPriority w:val="34"/>
    <w:qFormat/>
    <w:pPr>
      <w:ind w:left="720"/>
      <w:contextualSpacing/>
    </w:pPr>
  </w:style>
  <w:style w:type="paragraph" w:customStyle="1" w:styleId="BoxBullet2">
    <w:name w:val="Box Bullet 2"/>
    <w:pPr>
      <w:tabs>
        <w:tab w:val="num" w:pos="720"/>
      </w:tabs>
      <w:suppressAutoHyphens/>
      <w:ind w:left="720" w:hanging="720"/>
    </w:pPr>
    <w:rPr>
      <w:rFonts w:ascii="Century Gothic" w:hAnsi="Century Gothic"/>
      <w:lang w:eastAsia="en-US"/>
    </w:rPr>
  </w:style>
  <w:style w:type="character" w:customStyle="1" w:styleId="PrrafodelistaCar">
    <w:name w:val="Párrafo de lista Car"/>
    <w:rPr>
      <w:rFonts w:ascii="Arial" w:hAnsi="Arial"/>
      <w:color w:val="11204C"/>
      <w:lang w:eastAsia="en-US"/>
    </w:rPr>
  </w:style>
  <w:style w:type="paragraph" w:styleId="NormalWeb">
    <w:name w:val="Normal (Web)"/>
    <w:basedOn w:val="Normal"/>
    <w:uiPriority w:val="99"/>
    <w:pPr>
      <w:spacing w:line="240" w:lineRule="auto"/>
    </w:pPr>
    <w:rPr>
      <w:rFonts w:ascii="Calibri" w:eastAsia="Century Gothic" w:hAnsi="Calibri" w:cs="Calibri"/>
      <w:color w:val="auto"/>
      <w:sz w:val="22"/>
      <w:szCs w:val="22"/>
      <w:lang w:val="en-US" w:eastAsia="fr-FR"/>
    </w:rPr>
  </w:style>
  <w:style w:type="paragraph" w:customStyle="1" w:styleId="paragraph">
    <w:name w:val="paragraph"/>
    <w:basedOn w:val="Normal"/>
    <w:pPr>
      <w:spacing w:before="100" w:after="100" w:line="240" w:lineRule="auto"/>
    </w:pPr>
    <w:rPr>
      <w:rFonts w:ascii="Times New Roman" w:hAnsi="Times New Roman"/>
      <w:color w:val="auto"/>
      <w:sz w:val="24"/>
      <w:szCs w:val="24"/>
      <w:lang w:eastAsia="fr-FR"/>
    </w:rPr>
  </w:style>
  <w:style w:type="character" w:customStyle="1" w:styleId="normaltextrun">
    <w:name w:val="normaltextrun"/>
    <w:basedOn w:val="Fuentedeprrafopredeter"/>
  </w:style>
  <w:style w:type="character" w:customStyle="1" w:styleId="eop">
    <w:name w:val="eop"/>
    <w:basedOn w:val="Fuentedeprrafopredeter"/>
  </w:style>
  <w:style w:type="character" w:styleId="Mencinsinresolver">
    <w:name w:val="Unresolved Mention"/>
    <w:basedOn w:val="Fuentedeprrafopredeter"/>
    <w:rPr>
      <w:color w:val="605E5C"/>
      <w:shd w:val="clear" w:color="auto" w:fill="E1DFDD"/>
    </w:rPr>
  </w:style>
  <w:style w:type="numbering" w:customStyle="1" w:styleId="LFO10">
    <w:name w:val="LFO10"/>
    <w:basedOn w:val="Sinlista"/>
  </w:style>
  <w:style w:type="numbering" w:customStyle="1" w:styleId="LFO19">
    <w:name w:val="LFO19"/>
    <w:basedOn w:val="Sinlista"/>
  </w:style>
  <w:style w:type="numbering" w:customStyle="1" w:styleId="LFO20">
    <w:name w:val="LFO20"/>
    <w:basedOn w:val="Sinlist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nil"/>
      <w:tblCellMar>
        <w:left w:w="10" w:type="dxa"/>
        <w:right w:w="10" w:type="dxa"/>
      </w:tblCellMar>
    </w:tblPr>
  </w:style>
  <w:style w:type="table" w:customStyle="1" w:styleId="TableNormal1">
    <w:name w:val="Table Normal1"/>
    <w:rsid w:val="007A4627"/>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681">
      <w:bodyDiv w:val="1"/>
      <w:marLeft w:val="0"/>
      <w:marRight w:val="0"/>
      <w:marTop w:val="0"/>
      <w:marBottom w:val="0"/>
      <w:divBdr>
        <w:top w:val="none" w:sz="0" w:space="0" w:color="auto"/>
        <w:left w:val="none" w:sz="0" w:space="0" w:color="auto"/>
        <w:bottom w:val="none" w:sz="0" w:space="0" w:color="auto"/>
        <w:right w:val="none" w:sz="0" w:space="0" w:color="auto"/>
      </w:divBdr>
    </w:div>
    <w:div w:id="132411244">
      <w:bodyDiv w:val="1"/>
      <w:marLeft w:val="0"/>
      <w:marRight w:val="0"/>
      <w:marTop w:val="0"/>
      <w:marBottom w:val="0"/>
      <w:divBdr>
        <w:top w:val="none" w:sz="0" w:space="0" w:color="auto"/>
        <w:left w:val="none" w:sz="0" w:space="0" w:color="auto"/>
        <w:bottom w:val="none" w:sz="0" w:space="0" w:color="auto"/>
        <w:right w:val="none" w:sz="0" w:space="0" w:color="auto"/>
      </w:divBdr>
    </w:div>
    <w:div w:id="155341214">
      <w:bodyDiv w:val="1"/>
      <w:marLeft w:val="0"/>
      <w:marRight w:val="0"/>
      <w:marTop w:val="0"/>
      <w:marBottom w:val="0"/>
      <w:divBdr>
        <w:top w:val="none" w:sz="0" w:space="0" w:color="auto"/>
        <w:left w:val="none" w:sz="0" w:space="0" w:color="auto"/>
        <w:bottom w:val="none" w:sz="0" w:space="0" w:color="auto"/>
        <w:right w:val="none" w:sz="0" w:space="0" w:color="auto"/>
      </w:divBdr>
    </w:div>
    <w:div w:id="160239055">
      <w:bodyDiv w:val="1"/>
      <w:marLeft w:val="0"/>
      <w:marRight w:val="0"/>
      <w:marTop w:val="0"/>
      <w:marBottom w:val="0"/>
      <w:divBdr>
        <w:top w:val="none" w:sz="0" w:space="0" w:color="auto"/>
        <w:left w:val="none" w:sz="0" w:space="0" w:color="auto"/>
        <w:bottom w:val="none" w:sz="0" w:space="0" w:color="auto"/>
        <w:right w:val="none" w:sz="0" w:space="0" w:color="auto"/>
      </w:divBdr>
    </w:div>
    <w:div w:id="215506697">
      <w:bodyDiv w:val="1"/>
      <w:marLeft w:val="0"/>
      <w:marRight w:val="0"/>
      <w:marTop w:val="0"/>
      <w:marBottom w:val="0"/>
      <w:divBdr>
        <w:top w:val="none" w:sz="0" w:space="0" w:color="auto"/>
        <w:left w:val="none" w:sz="0" w:space="0" w:color="auto"/>
        <w:bottom w:val="none" w:sz="0" w:space="0" w:color="auto"/>
        <w:right w:val="none" w:sz="0" w:space="0" w:color="auto"/>
      </w:divBdr>
    </w:div>
    <w:div w:id="254632900">
      <w:bodyDiv w:val="1"/>
      <w:marLeft w:val="0"/>
      <w:marRight w:val="0"/>
      <w:marTop w:val="0"/>
      <w:marBottom w:val="0"/>
      <w:divBdr>
        <w:top w:val="none" w:sz="0" w:space="0" w:color="auto"/>
        <w:left w:val="none" w:sz="0" w:space="0" w:color="auto"/>
        <w:bottom w:val="none" w:sz="0" w:space="0" w:color="auto"/>
        <w:right w:val="none" w:sz="0" w:space="0" w:color="auto"/>
      </w:divBdr>
    </w:div>
    <w:div w:id="345254115">
      <w:bodyDiv w:val="1"/>
      <w:marLeft w:val="0"/>
      <w:marRight w:val="0"/>
      <w:marTop w:val="0"/>
      <w:marBottom w:val="0"/>
      <w:divBdr>
        <w:top w:val="none" w:sz="0" w:space="0" w:color="auto"/>
        <w:left w:val="none" w:sz="0" w:space="0" w:color="auto"/>
        <w:bottom w:val="none" w:sz="0" w:space="0" w:color="auto"/>
        <w:right w:val="none" w:sz="0" w:space="0" w:color="auto"/>
      </w:divBdr>
    </w:div>
    <w:div w:id="347684610">
      <w:bodyDiv w:val="1"/>
      <w:marLeft w:val="0"/>
      <w:marRight w:val="0"/>
      <w:marTop w:val="0"/>
      <w:marBottom w:val="0"/>
      <w:divBdr>
        <w:top w:val="none" w:sz="0" w:space="0" w:color="auto"/>
        <w:left w:val="none" w:sz="0" w:space="0" w:color="auto"/>
        <w:bottom w:val="none" w:sz="0" w:space="0" w:color="auto"/>
        <w:right w:val="none" w:sz="0" w:space="0" w:color="auto"/>
      </w:divBdr>
    </w:div>
    <w:div w:id="429161399">
      <w:bodyDiv w:val="1"/>
      <w:marLeft w:val="0"/>
      <w:marRight w:val="0"/>
      <w:marTop w:val="0"/>
      <w:marBottom w:val="0"/>
      <w:divBdr>
        <w:top w:val="none" w:sz="0" w:space="0" w:color="auto"/>
        <w:left w:val="none" w:sz="0" w:space="0" w:color="auto"/>
        <w:bottom w:val="none" w:sz="0" w:space="0" w:color="auto"/>
        <w:right w:val="none" w:sz="0" w:space="0" w:color="auto"/>
      </w:divBdr>
    </w:div>
    <w:div w:id="647633235">
      <w:bodyDiv w:val="1"/>
      <w:marLeft w:val="0"/>
      <w:marRight w:val="0"/>
      <w:marTop w:val="0"/>
      <w:marBottom w:val="0"/>
      <w:divBdr>
        <w:top w:val="none" w:sz="0" w:space="0" w:color="auto"/>
        <w:left w:val="none" w:sz="0" w:space="0" w:color="auto"/>
        <w:bottom w:val="none" w:sz="0" w:space="0" w:color="auto"/>
        <w:right w:val="none" w:sz="0" w:space="0" w:color="auto"/>
      </w:divBdr>
    </w:div>
    <w:div w:id="723723622">
      <w:bodyDiv w:val="1"/>
      <w:marLeft w:val="0"/>
      <w:marRight w:val="0"/>
      <w:marTop w:val="0"/>
      <w:marBottom w:val="0"/>
      <w:divBdr>
        <w:top w:val="none" w:sz="0" w:space="0" w:color="auto"/>
        <w:left w:val="none" w:sz="0" w:space="0" w:color="auto"/>
        <w:bottom w:val="none" w:sz="0" w:space="0" w:color="auto"/>
        <w:right w:val="none" w:sz="0" w:space="0" w:color="auto"/>
      </w:divBdr>
    </w:div>
    <w:div w:id="1255362285">
      <w:bodyDiv w:val="1"/>
      <w:marLeft w:val="0"/>
      <w:marRight w:val="0"/>
      <w:marTop w:val="0"/>
      <w:marBottom w:val="0"/>
      <w:divBdr>
        <w:top w:val="none" w:sz="0" w:space="0" w:color="auto"/>
        <w:left w:val="none" w:sz="0" w:space="0" w:color="auto"/>
        <w:bottom w:val="none" w:sz="0" w:space="0" w:color="auto"/>
        <w:right w:val="none" w:sz="0" w:space="0" w:color="auto"/>
      </w:divBdr>
    </w:div>
    <w:div w:id="1673532304">
      <w:bodyDiv w:val="1"/>
      <w:marLeft w:val="0"/>
      <w:marRight w:val="0"/>
      <w:marTop w:val="0"/>
      <w:marBottom w:val="0"/>
      <w:divBdr>
        <w:top w:val="none" w:sz="0" w:space="0" w:color="auto"/>
        <w:left w:val="none" w:sz="0" w:space="0" w:color="auto"/>
        <w:bottom w:val="none" w:sz="0" w:space="0" w:color="auto"/>
        <w:right w:val="none" w:sz="0" w:space="0" w:color="auto"/>
      </w:divBdr>
    </w:div>
    <w:div w:id="2057386960">
      <w:bodyDiv w:val="1"/>
      <w:marLeft w:val="0"/>
      <w:marRight w:val="0"/>
      <w:marTop w:val="0"/>
      <w:marBottom w:val="0"/>
      <w:divBdr>
        <w:top w:val="none" w:sz="0" w:space="0" w:color="auto"/>
        <w:left w:val="none" w:sz="0" w:space="0" w:color="auto"/>
        <w:bottom w:val="none" w:sz="0" w:space="0" w:color="auto"/>
        <w:right w:val="none" w:sz="0" w:space="0" w:color="auto"/>
      </w:divBdr>
    </w:div>
    <w:div w:id="2104183238">
      <w:bodyDiv w:val="1"/>
      <w:marLeft w:val="0"/>
      <w:marRight w:val="0"/>
      <w:marTop w:val="0"/>
      <w:marBottom w:val="0"/>
      <w:divBdr>
        <w:top w:val="none" w:sz="0" w:space="0" w:color="auto"/>
        <w:left w:val="none" w:sz="0" w:space="0" w:color="auto"/>
        <w:bottom w:val="none" w:sz="0" w:space="0" w:color="auto"/>
        <w:right w:val="none" w:sz="0" w:space="0" w:color="auto"/>
      </w:divBdr>
    </w:div>
    <w:div w:id="2135638413">
      <w:bodyDiv w:val="1"/>
      <w:marLeft w:val="0"/>
      <w:marRight w:val="0"/>
      <w:marTop w:val="0"/>
      <w:marBottom w:val="0"/>
      <w:divBdr>
        <w:top w:val="none" w:sz="0" w:space="0" w:color="auto"/>
        <w:left w:val="none" w:sz="0" w:space="0" w:color="auto"/>
        <w:bottom w:val="none" w:sz="0" w:space="0" w:color="auto"/>
        <w:right w:val="none" w:sz="0" w:space="0" w:color="auto"/>
      </w:divBdr>
    </w:div>
    <w:div w:id="2136678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defense.com/v3/__https:/www.larazon.es/castilla-y-leon/eres-comer-menu-dia-conoce-territorios-donde-mas-economico_202511256925b66d8080bd5ad623f90d.html__;!!EyGG_rL3!H5XwCiNxpSS7-1EAaIZHObKkn9IrQhO7Id73q-etnnrrTISd_jGvNSy-WK2ycMXDh6acuZgpWny_wNXK_YwSF7Z3Ho0kg1_VGbJFAy4kv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defense.com/v3/__https:/www.lavanguardia.com/comer/al-dia/20251126/11301035/precio-menu-dia-espana-subido-1-5-restaurantes-alcanza-14-2-euros.html__;!!EyGG_rL3!H5XwCiNxpSS7-1EAaIZHObKkn9IrQhO7Id73q-etnnrrTISd_jGvNSy-WK2ycMXDh6acuZgpWny_wNXK_YwSF7Z3Ho0kg1_VGbJFA9EUPLx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elpais.com/economia/2025-11-25/el-menu-del-dia-alcanza-los-142-euros-de-media-del-mas-economico-en-canarias-al-mas-caro-en-baleares.html__;!!EyGG_rL3!H5XwCiNxpSS7-1EAaIZHObKkn9IrQhO7Id73q-etnnrrTISd_jGvNSy-WK2ycMXDh6acuZgpWny_wNXK_YwSF7Z3Ho0kg1_VGbJFA2ArFON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quipo.edenred@newlink-group.com" TargetMode="External"/><Relationship Id="rId4" Type="http://schemas.openxmlformats.org/officeDocument/2006/relationships/settings" Target="settings.xml"/><Relationship Id="rId9" Type="http://schemas.openxmlformats.org/officeDocument/2006/relationships/hyperlink" Target="mailto:alejandro.delgadosanchez@edenred.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4bHXuFG8ZK1f8jUvsxeC2OwKQ==">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1170</Words>
  <Characters>7173</Characters>
  <Application>Microsoft Office Word</Application>
  <DocSecurity>0</DocSecurity>
  <Lines>59</Lines>
  <Paragraphs>16</Paragraphs>
  <ScaleCrop>false</ScaleCrop>
  <Company/>
  <LinksUpToDate>false</LinksUpToDate>
  <CharactersWithSpaces>8327</CharactersWithSpaces>
  <SharedDoc>false</SharedDoc>
  <HLinks>
    <vt:vector size="12" baseType="variant">
      <vt:variant>
        <vt:i4>983083</vt:i4>
      </vt:variant>
      <vt:variant>
        <vt:i4>3</vt:i4>
      </vt:variant>
      <vt:variant>
        <vt:i4>0</vt:i4>
      </vt:variant>
      <vt:variant>
        <vt:i4>5</vt:i4>
      </vt:variant>
      <vt:variant>
        <vt:lpwstr>mailto:equipo.edenred@newlink-group.com</vt:lpwstr>
      </vt:variant>
      <vt:variant>
        <vt:lpwstr/>
      </vt:variant>
      <vt:variant>
        <vt:i4>196706</vt:i4>
      </vt:variant>
      <vt:variant>
        <vt:i4>0</vt:i4>
      </vt:variant>
      <vt:variant>
        <vt:i4>0</vt:i4>
      </vt:variant>
      <vt:variant>
        <vt:i4>5</vt:i4>
      </vt:variant>
      <vt:variant>
        <vt:lpwstr>mailto:alejandro.delgadosanchez@edenred.com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COURTOIS Cécile</dc:creator>
  <cp:keywords/>
  <cp:lastModifiedBy>SÁNCHEZ Míriam</cp:lastModifiedBy>
  <cp:revision>151</cp:revision>
  <dcterms:created xsi:type="dcterms:W3CDTF">2025-06-04T19:13:00Z</dcterms:created>
  <dcterms:modified xsi:type="dcterms:W3CDTF">2026-07-21T07:03:00Z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0x010100C507B8DFC332A440B799D44257F07BA7</vt:lpwstr>
  </property>
  <property fmtid="{D5CDD505-2E9C-101B-9397-08002B2CF9AE}" pid="3" name="GrammarlyDocumentId">
    <vt:lpwstr>797d063b200a87c27582bd0be5c9c9e5374e71033a601ec6e631990873192edf</vt:lpwstr>
  </property>
  <property fmtid="{D5CDD505-2E9C-101B-9397-08002B2CF9AE}" pid="4" name="MSIP_Label_16091971-b0ef-48f5-bce1-a3196e01ad58_Enabled">
    <vt:lpwstr>true</vt:lpwstr>
  </property>
  <property fmtid="{D5CDD505-2E9C-101B-9397-08002B2CF9AE}" pid="5" name="MSIP_Label_16091971-b0ef-48f5-bce1-a3196e01ad58_SetDate">
    <vt:lpwstr>2026-07-21T06:59:37Z</vt:lpwstr>
  </property>
  <property fmtid="{D5CDD505-2E9C-101B-9397-08002B2CF9AE}" pid="6" name="MSIP_Label_16091971-b0ef-48f5-bce1-a3196e01ad58_Method">
    <vt:lpwstr>Privileged</vt:lpwstr>
  </property>
  <property fmtid="{D5CDD505-2E9C-101B-9397-08002B2CF9AE}" pid="7" name="MSIP_Label_16091971-b0ef-48f5-bce1-a3196e01ad58_Name">
    <vt:lpwstr>C2 – Internal</vt:lpwstr>
  </property>
  <property fmtid="{D5CDD505-2E9C-101B-9397-08002B2CF9AE}" pid="8" name="MSIP_Label_16091971-b0ef-48f5-bce1-a3196e01ad58_SiteId">
    <vt:lpwstr>4c1d9e0f-5c27-4228-a35a-de7b4083ff7b</vt:lpwstr>
  </property>
  <property fmtid="{D5CDD505-2E9C-101B-9397-08002B2CF9AE}" pid="9" name="MSIP_Label_16091971-b0ef-48f5-bce1-a3196e01ad58_ActionId">
    <vt:lpwstr>4523cd1c-32d5-4def-82e3-a381420bd0f7</vt:lpwstr>
  </property>
  <property fmtid="{D5CDD505-2E9C-101B-9397-08002B2CF9AE}" pid="10" name="MSIP_Label_16091971-b0ef-48f5-bce1-a3196e01ad58_ContentBits">
    <vt:lpwstr>0</vt:lpwstr>
  </property>
  <property fmtid="{D5CDD505-2E9C-101B-9397-08002B2CF9AE}" pid="11" name="MSIP_Label_16091971-b0ef-48f5-bce1-a3196e01ad58_Tag">
    <vt:lpwstr>10, 0, 1, 1</vt:lpwstr>
  </property>
</Properties>
</file>