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26030313" w:rsidR="0034131E" w:rsidRPr="00833D4F" w:rsidRDefault="00054F03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1F513E53">
            <wp:simplePos x="0" y="0"/>
            <wp:positionH relativeFrom="column">
              <wp:posOffset>-19431</wp:posOffset>
            </wp:positionH>
            <wp:positionV relativeFrom="paragraph">
              <wp:posOffset>-343840</wp:posOffset>
            </wp:positionV>
            <wp:extent cx="1345997" cy="833933"/>
            <wp:effectExtent l="0" t="0" r="6985" b="4445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7242" cy="83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F9"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</w:p>
    <w:p w14:paraId="2721C22F" w14:textId="57B12890" w:rsidR="0034131E" w:rsidRPr="00833D4F" w:rsidRDefault="00D0547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7</w:t>
      </w:r>
      <w:r w:rsidR="00F71D13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de </w:t>
      </w:r>
      <w:r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mayo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de 202</w:t>
      </w:r>
      <w:r w:rsidR="00316012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6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5EB22A07" w14:textId="5B143868" w:rsidR="00CB5AED" w:rsidRPr="00CB5AED" w:rsidRDefault="00CB5AED" w:rsidP="00B127EA">
      <w:pPr>
        <w:pStyle w:val="BulletLead-in2"/>
        <w:numPr>
          <w:ilvl w:val="0"/>
          <w:numId w:val="0"/>
        </w:numPr>
        <w:jc w:val="center"/>
        <w:rPr>
          <w:rFonts w:cs="Century Gothic"/>
          <w:b/>
          <w:bCs/>
          <w:color w:val="000000" w:themeColor="text1"/>
          <w:sz w:val="32"/>
          <w:szCs w:val="32"/>
          <w:lang w:val="es-ES"/>
        </w:rPr>
      </w:pPr>
      <w:r w:rsidRPr="00CB5AED">
        <w:rPr>
          <w:rFonts w:cs="Century Gothic"/>
          <w:b/>
          <w:bCs/>
          <w:color w:val="000000" w:themeColor="text1"/>
          <w:sz w:val="32"/>
          <w:szCs w:val="32"/>
          <w:lang w:val="es-ES"/>
        </w:rPr>
        <w:t>Resultados Edenred 202</w:t>
      </w:r>
      <w:r w:rsidR="00E240DD">
        <w:rPr>
          <w:rFonts w:cs="Century Gothic"/>
          <w:b/>
          <w:bCs/>
          <w:color w:val="000000" w:themeColor="text1"/>
          <w:sz w:val="32"/>
          <w:szCs w:val="32"/>
          <w:lang w:val="es-ES"/>
        </w:rPr>
        <w:t>6</w:t>
      </w:r>
    </w:p>
    <w:p w14:paraId="6D2565DF" w14:textId="46DABA98" w:rsidR="00CB702A" w:rsidRDefault="00D0547E" w:rsidP="00D0547E">
      <w:pPr>
        <w:pStyle w:val="BulletLead-in2"/>
        <w:numPr>
          <w:ilvl w:val="0"/>
          <w:numId w:val="0"/>
        </w:numPr>
        <w:jc w:val="center"/>
        <w:rPr>
          <w:rFonts w:cs="Century Gothic"/>
          <w:color w:val="000000" w:themeColor="text1"/>
          <w:sz w:val="44"/>
          <w:szCs w:val="44"/>
          <w:lang w:val="es-ES"/>
        </w:rPr>
      </w:pPr>
      <w:r w:rsidRPr="00D0547E">
        <w:rPr>
          <w:rFonts w:cs="Century Gothic"/>
          <w:color w:val="000000" w:themeColor="text1"/>
          <w:sz w:val="44"/>
          <w:szCs w:val="44"/>
          <w:lang w:val="es-ES"/>
        </w:rPr>
        <w:t>Edenred supera los 730 millones de euros en ingresos trimestrales y confirma sus previsiones para 2026</w:t>
      </w:r>
    </w:p>
    <w:p w14:paraId="49E58368" w14:textId="77777777" w:rsidR="00D0547E" w:rsidRPr="009D71F7" w:rsidRDefault="00D0547E" w:rsidP="000B15B7">
      <w:pPr>
        <w:pStyle w:val="BulletLead-in2"/>
        <w:numPr>
          <w:ilvl w:val="0"/>
          <w:numId w:val="0"/>
        </w:numPr>
        <w:jc w:val="both"/>
        <w:rPr>
          <w:b/>
          <w:bCs/>
          <w:lang w:val="es-ES"/>
        </w:rPr>
      </w:pPr>
    </w:p>
    <w:p w14:paraId="47F6C80B" w14:textId="77777777" w:rsidR="00122812" w:rsidRPr="00613398" w:rsidRDefault="00122812" w:rsidP="00122812">
      <w:pPr>
        <w:pStyle w:val="Prrafodelista"/>
        <w:numPr>
          <w:ilvl w:val="0"/>
          <w:numId w:val="24"/>
        </w:num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613398">
        <w:rPr>
          <w:rFonts w:ascii="Century Gothic" w:eastAsia="Century Gothic" w:hAnsi="Century Gothic" w:cs="Century Gothic"/>
          <w:b/>
          <w:bCs/>
          <w:color w:val="auto"/>
          <w:lang w:val="es-ES"/>
        </w:rPr>
        <w:t>Edenred registra un crecimiento sostenido en el primer trimestre y confirma sus objetivos para 2026 y más allá</w:t>
      </w:r>
    </w:p>
    <w:p w14:paraId="6D851E7D" w14:textId="77777777" w:rsidR="00E06DEB" w:rsidRDefault="00E06DEB" w:rsidP="00E06DEB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41596808" w14:textId="0CCB0016" w:rsidR="00122812" w:rsidRDefault="00122812" w:rsidP="001228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>Edenred mantiene su trayectoria ascendente en el primer trimestre de 2026 y alcanza un crecimiento intrínseco</w:t>
      </w:r>
      <w:r w:rsidR="00457D0C">
        <w:rPr>
          <w:rStyle w:val="Refdenotaalpie"/>
          <w:rFonts w:ascii="Century Gothic" w:eastAsia="Century Gothic" w:hAnsi="Century Gothic" w:cs="Century Gothic"/>
          <w:color w:val="auto"/>
          <w:lang w:val="es-ES"/>
        </w:rPr>
        <w:footnoteReference w:id="1"/>
      </w:r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de los ingresos del +8,2 %, en línea con los resultados del ejercicio completo de 2025:</w:t>
      </w:r>
    </w:p>
    <w:p w14:paraId="02EB20A1" w14:textId="77777777" w:rsidR="00613398" w:rsidRPr="00122812" w:rsidRDefault="00613398" w:rsidP="001228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1DF8D619" w14:textId="77777777" w:rsidR="00122812" w:rsidRPr="00122812" w:rsidRDefault="00122812" w:rsidP="00122812">
      <w:pPr>
        <w:numPr>
          <w:ilvl w:val="0"/>
          <w:numId w:val="19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Crecimiento de doble dígito en Movilidad (+10,0 %) </w:t>
      </w:r>
    </w:p>
    <w:p w14:paraId="6E3A32BA" w14:textId="77777777" w:rsidR="00122812" w:rsidRPr="00122812" w:rsidRDefault="00122812" w:rsidP="00122812">
      <w:pPr>
        <w:numPr>
          <w:ilvl w:val="0"/>
          <w:numId w:val="19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Crecimiento intrínseco¹ de un solo dígito alto en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Benefits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&amp;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Engagement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(+7,8 %) </w:t>
      </w:r>
    </w:p>
    <w:p w14:paraId="49B90BDF" w14:textId="77777777" w:rsidR="00122812" w:rsidRDefault="00122812" w:rsidP="00122812">
      <w:pPr>
        <w:numPr>
          <w:ilvl w:val="0"/>
          <w:numId w:val="19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Vuelta a un crecimiento sólido en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Payment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Solutions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&amp; New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Markets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(+6,2 %) </w:t>
      </w:r>
    </w:p>
    <w:p w14:paraId="275A2A7F" w14:textId="77777777" w:rsidR="00BA1F2A" w:rsidRPr="00122812" w:rsidRDefault="00BA1F2A" w:rsidP="00BA1F2A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B093F0E" w14:textId="77777777" w:rsidR="00122812" w:rsidRPr="00BA1F2A" w:rsidRDefault="00122812" w:rsidP="0012281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BA1F2A">
        <w:rPr>
          <w:rFonts w:ascii="Century Gothic" w:eastAsia="Century Gothic" w:hAnsi="Century Gothic" w:cs="Century Gothic"/>
          <w:b/>
          <w:bCs/>
          <w:color w:val="auto"/>
          <w:lang w:val="es-ES"/>
        </w:rPr>
        <w:t>Con el impacto de un nuevo entorno regulatorio (Italia y Brasil), Edenred obtiene:</w:t>
      </w:r>
    </w:p>
    <w:p w14:paraId="7B453EA8" w14:textId="77777777" w:rsidR="00BA1F2A" w:rsidRPr="00122812" w:rsidRDefault="00BA1F2A" w:rsidP="001228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CC4DC26" w14:textId="1E07D72D" w:rsidR="00122812" w:rsidRDefault="00122812" w:rsidP="00122812">
      <w:pPr>
        <w:numPr>
          <w:ilvl w:val="0"/>
          <w:numId w:val="20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>Ingresos operativos de 673 millones de euros, un +3,1 % comparables (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like-for-like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>) y un +0,9 % reportado frente al primer trimestre de 2025</w:t>
      </w:r>
      <w:r w:rsidR="00BA1F2A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1B5B2706" w14:textId="77777777" w:rsidR="00BA1F2A" w:rsidRPr="00122812" w:rsidRDefault="00BA1F2A" w:rsidP="00BA1F2A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684AC09" w14:textId="0848D2C0" w:rsidR="00BA1F2A" w:rsidRDefault="00122812" w:rsidP="00BA1F2A">
      <w:pPr>
        <w:numPr>
          <w:ilvl w:val="0"/>
          <w:numId w:val="20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>Otros ingresos de 57 millones de euros, un +3,2 % comparables (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like-for-like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>) y estables en términos reportados frente al primer trimestre de 2025</w:t>
      </w:r>
      <w:r w:rsidR="00BA1F2A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15923FE1" w14:textId="77777777" w:rsidR="00BA1F2A" w:rsidRPr="00BA1F2A" w:rsidRDefault="00BA1F2A" w:rsidP="00BA1F2A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2BF7D1E2" w14:textId="4C10BE9E" w:rsidR="00122812" w:rsidRDefault="00122812" w:rsidP="00122812">
      <w:pPr>
        <w:numPr>
          <w:ilvl w:val="0"/>
          <w:numId w:val="20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>Ingresos totales de 730 millones de euros, un +3,1 % comparables (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like-for-like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>) y un +0,8 % reportado frente al primer trimestre de 2025</w:t>
      </w:r>
      <w:r w:rsidR="00BA1F2A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3968DF00" w14:textId="77777777" w:rsidR="00BA1F2A" w:rsidRPr="00122812" w:rsidRDefault="00BA1F2A" w:rsidP="00BA1F2A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D3B920F" w14:textId="07D93D0F" w:rsidR="00122812" w:rsidRDefault="00122812" w:rsidP="0012281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BA1F2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Edenred obtiene la calificación “A” de CDP (frente a la “B” </w:t>
      </w:r>
      <w:r w:rsidR="00A144BA">
        <w:rPr>
          <w:rFonts w:ascii="Century Gothic" w:eastAsia="Century Gothic" w:hAnsi="Century Gothic" w:cs="Century Gothic"/>
          <w:b/>
          <w:bCs/>
          <w:color w:val="auto"/>
          <w:lang w:val="es-ES"/>
        </w:rPr>
        <w:t>obtenida anteriormente</w:t>
      </w:r>
      <w:r w:rsidRPr="00BA1F2A">
        <w:rPr>
          <w:rFonts w:ascii="Century Gothic" w:eastAsia="Century Gothic" w:hAnsi="Century Gothic" w:cs="Century Gothic"/>
          <w:b/>
          <w:bCs/>
          <w:color w:val="auto"/>
          <w:lang w:val="es-ES"/>
        </w:rPr>
        <w:t>), reforzando su liderazgo ESG dentro del sector:</w:t>
      </w:r>
    </w:p>
    <w:p w14:paraId="14C0068B" w14:textId="77777777" w:rsidR="00BA1F2A" w:rsidRPr="00BA1F2A" w:rsidRDefault="00BA1F2A" w:rsidP="0012281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0542F27A" w14:textId="37DCB570" w:rsidR="00A144BA" w:rsidRPr="00A144BA" w:rsidRDefault="00122812" w:rsidP="00A144BA">
      <w:pPr>
        <w:numPr>
          <w:ilvl w:val="0"/>
          <w:numId w:val="21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Reconocimiento al sólido compromiso de Edenred con la acción climática </w:t>
      </w:r>
    </w:p>
    <w:p w14:paraId="49EDBEA6" w14:textId="77777777" w:rsidR="00122812" w:rsidRDefault="00122812" w:rsidP="00122812">
      <w:pPr>
        <w:numPr>
          <w:ilvl w:val="0"/>
          <w:numId w:val="21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Refuerzo adicional de su ventaja competitiva </w:t>
      </w:r>
    </w:p>
    <w:p w14:paraId="365222B4" w14:textId="77777777" w:rsidR="00A144BA" w:rsidRPr="00122812" w:rsidRDefault="00A144BA" w:rsidP="00A144BA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0B7C936" w14:textId="77777777" w:rsidR="00122812" w:rsidRDefault="00122812" w:rsidP="0012281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A144BA">
        <w:rPr>
          <w:rFonts w:ascii="Century Gothic" w:eastAsia="Century Gothic" w:hAnsi="Century Gothic" w:cs="Century Gothic"/>
          <w:b/>
          <w:bCs/>
          <w:color w:val="auto"/>
          <w:lang w:val="es-ES"/>
        </w:rPr>
        <w:t>Edenred ejecuta con disciplina su plan estratégico Amplify25-28. Algunos ejemplos destacados:</w:t>
      </w:r>
    </w:p>
    <w:p w14:paraId="21D2E004" w14:textId="77777777" w:rsidR="00A144BA" w:rsidRPr="00A144BA" w:rsidRDefault="00A144BA" w:rsidP="0012281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65AEED76" w14:textId="77777777" w:rsidR="00122812" w:rsidRPr="00122812" w:rsidRDefault="00122812" w:rsidP="00122812">
      <w:pPr>
        <w:numPr>
          <w:ilvl w:val="0"/>
          <w:numId w:val="22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proofErr w:type="spellStart"/>
      <w:r w:rsidRPr="00A144BA">
        <w:rPr>
          <w:rFonts w:ascii="Century Gothic" w:eastAsia="Century Gothic" w:hAnsi="Century Gothic" w:cs="Century Gothic"/>
          <w:b/>
          <w:bCs/>
          <w:color w:val="auto"/>
          <w:lang w:val="es-ES"/>
        </w:rPr>
        <w:t>Attract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: ofrecer la propuesta más atractiva en recarga de vehículos eléctricos y ampliar el alcance de Edenred en Movilidad mediante una nueva alianza con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EnBW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en Alemania </w:t>
      </w:r>
    </w:p>
    <w:p w14:paraId="02D8C7B3" w14:textId="77777777" w:rsidR="00122812" w:rsidRPr="00122812" w:rsidRDefault="00122812" w:rsidP="00122812">
      <w:pPr>
        <w:numPr>
          <w:ilvl w:val="0"/>
          <w:numId w:val="22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proofErr w:type="spellStart"/>
      <w:r w:rsidRPr="00A144BA">
        <w:rPr>
          <w:rFonts w:ascii="Century Gothic" w:eastAsia="Century Gothic" w:hAnsi="Century Gothic" w:cs="Century Gothic"/>
          <w:b/>
          <w:bCs/>
          <w:color w:val="auto"/>
          <w:lang w:val="es-ES"/>
        </w:rPr>
        <w:t>Enrich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: potenciar las estrategias de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upselling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y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cross-selling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en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Benefits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&amp; 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Engagement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en Italia </w:t>
      </w:r>
    </w:p>
    <w:p w14:paraId="5171CCDB" w14:textId="77777777" w:rsidR="00122812" w:rsidRDefault="00122812" w:rsidP="00122812">
      <w:pPr>
        <w:numPr>
          <w:ilvl w:val="0"/>
          <w:numId w:val="22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A144BA">
        <w:rPr>
          <w:rFonts w:ascii="Century Gothic" w:eastAsia="Century Gothic" w:hAnsi="Century Gothic" w:cs="Century Gothic"/>
          <w:b/>
          <w:bCs/>
          <w:color w:val="auto"/>
          <w:lang w:val="es-ES"/>
        </w:rPr>
        <w:t>Data &amp; AI:</w:t>
      </w:r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 aprovechar la inteligencia artificial para mejorar la oferta de mantenimiento en Brasil </w:t>
      </w:r>
    </w:p>
    <w:p w14:paraId="3243D615" w14:textId="77777777" w:rsidR="00A144BA" w:rsidRDefault="00A144BA" w:rsidP="00A144BA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25CA5E1" w14:textId="77777777" w:rsidR="00A144BA" w:rsidRDefault="00A144BA" w:rsidP="001228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15CCDB8F" w14:textId="4BCEAA00" w:rsidR="00122812" w:rsidRDefault="00122812" w:rsidP="0012281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A144BA">
        <w:rPr>
          <w:rFonts w:ascii="Century Gothic" w:eastAsia="Century Gothic" w:hAnsi="Century Gothic" w:cs="Century Gothic"/>
          <w:b/>
          <w:bCs/>
          <w:color w:val="auto"/>
          <w:lang w:val="es-ES"/>
        </w:rPr>
        <w:t>Edenred confirma sus objetivos para 2026 y los próximos años:</w:t>
      </w:r>
    </w:p>
    <w:p w14:paraId="10DD1109" w14:textId="77777777" w:rsidR="00A144BA" w:rsidRPr="00A144BA" w:rsidRDefault="00A144BA" w:rsidP="0012281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6F0FB9F0" w14:textId="77777777" w:rsidR="00122812" w:rsidRDefault="00122812" w:rsidP="00122812">
      <w:pPr>
        <w:numPr>
          <w:ilvl w:val="0"/>
          <w:numId w:val="23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>Una caída del EBITDA de entre el 8 % y el 12 % comparables (</w:t>
      </w:r>
      <w:proofErr w:type="spellStart"/>
      <w:r w:rsidRPr="00122812">
        <w:rPr>
          <w:rFonts w:ascii="Century Gothic" w:eastAsia="Century Gothic" w:hAnsi="Century Gothic" w:cs="Century Gothic"/>
          <w:color w:val="auto"/>
          <w:lang w:val="es-ES"/>
        </w:rPr>
        <w:t>like-for-like</w:t>
      </w:r>
      <w:proofErr w:type="spellEnd"/>
      <w:r w:rsidRPr="00122812">
        <w:rPr>
          <w:rFonts w:ascii="Century Gothic" w:eastAsia="Century Gothic" w:hAnsi="Century Gothic" w:cs="Century Gothic"/>
          <w:color w:val="auto"/>
          <w:lang w:val="es-ES"/>
        </w:rPr>
        <w:t xml:space="preserve">) en 2026, lo que corresponde a un crecimiento intrínseco del EBITDA de entre el 8 % y el 12 %, nivel previsto también para 2027 y 2028 </w:t>
      </w:r>
    </w:p>
    <w:p w14:paraId="2733C5AC" w14:textId="77777777" w:rsidR="00A144BA" w:rsidRPr="00122812" w:rsidRDefault="00A144BA" w:rsidP="00A144BA">
      <w:pPr>
        <w:ind w:left="720"/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95D26D8" w14:textId="488B292F" w:rsidR="00122812" w:rsidRPr="00122812" w:rsidRDefault="00122812" w:rsidP="00122812">
      <w:pPr>
        <w:numPr>
          <w:ilvl w:val="0"/>
          <w:numId w:val="23"/>
        </w:num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22812">
        <w:rPr>
          <w:rFonts w:ascii="Century Gothic" w:eastAsia="Century Gothic" w:hAnsi="Century Gothic" w:cs="Century Gothic"/>
          <w:color w:val="auto"/>
          <w:lang w:val="es-ES"/>
        </w:rPr>
        <w:t>Una tasa de conversión de flujo de caja libre/EBITDA ≥ 35 %, equivalente a una tasa de conversión intrínseca ≥ 65 %</w:t>
      </w:r>
      <w:r w:rsidR="008528A6">
        <w:rPr>
          <w:rStyle w:val="Refdenotaalpie"/>
          <w:rFonts w:ascii="Century Gothic" w:eastAsia="Century Gothic" w:hAnsi="Century Gothic" w:cs="Century Gothic"/>
          <w:color w:val="auto"/>
          <w:lang w:val="es-ES"/>
        </w:rPr>
        <w:footnoteReference w:id="2"/>
      </w:r>
      <w:r w:rsidR="008528A6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 w:rsidRPr="00122812">
        <w:rPr>
          <w:rFonts w:ascii="Century Gothic" w:eastAsia="Century Gothic" w:hAnsi="Century Gothic" w:cs="Century Gothic"/>
          <w:color w:val="auto"/>
          <w:lang w:val="es-ES"/>
        </w:rPr>
        <w:t>nivel previsto igualmente para 2027 y 2028</w:t>
      </w:r>
    </w:p>
    <w:p w14:paraId="7DABA0E8" w14:textId="5FA0E49E" w:rsidR="005F1892" w:rsidRPr="005F1892" w:rsidRDefault="005F1892" w:rsidP="005F189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A327629" w14:textId="61E1E8BD" w:rsidR="00996808" w:rsidRPr="00996808" w:rsidRDefault="00996808" w:rsidP="00996808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996808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Bertrand Dumazy, presidente y CEO de Edenred, </w:t>
      </w:r>
      <w:r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ha declarado que </w:t>
      </w:r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“Edenred ha comenzado 2026 consolidando la posición alcanzada en 2025, demostrando su capacidad para generar un crecimiento intrínseco de un solo dígito alto y mitigar el impacto del nuevo entorno regulatorio para </w:t>
      </w:r>
      <w:proofErr w:type="spellStart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>Meal</w:t>
      </w:r>
      <w:proofErr w:type="spellEnd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 &amp; </w:t>
      </w:r>
      <w:proofErr w:type="spellStart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>Food</w:t>
      </w:r>
      <w:proofErr w:type="spellEnd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 en Brasil e Italia. </w:t>
      </w:r>
      <w:r w:rsidRPr="00996808">
        <w:rPr>
          <w:rFonts w:ascii="Century Gothic" w:eastAsia="Century Gothic" w:hAnsi="Century Gothic" w:cs="Century Gothic"/>
          <w:b/>
          <w:bCs/>
          <w:i/>
          <w:iCs/>
          <w:color w:val="auto"/>
          <w:lang w:val="es-ES"/>
        </w:rPr>
        <w:t>Hemos logrado mantener un rendimiento sólido en todas nuestras líneas de negocio y geografías</w:t>
      </w:r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, lo que refleja nuestra capacidad para aprovechar tanto nuestra cartera diversificada de soluciones como nuestra presencia </w:t>
      </w:r>
      <w:proofErr w:type="spellStart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>multilocal</w:t>
      </w:r>
      <w:proofErr w:type="spellEnd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>.</w:t>
      </w:r>
    </w:p>
    <w:p w14:paraId="3A980E2A" w14:textId="77777777" w:rsidR="00996808" w:rsidRPr="00996808" w:rsidRDefault="00996808" w:rsidP="00996808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</w:p>
    <w:p w14:paraId="0CEBE222" w14:textId="77777777" w:rsidR="00996808" w:rsidRPr="00996808" w:rsidRDefault="00996808" w:rsidP="00996808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En un contexto incierto, seguimos ejecutando con confianza nuestro plan estratégico, centrando nuestros esfuerzos comerciales y de marketing en captar más clientes y generar un mayor valor por usuario, especialmente gracias a iniciativas de </w:t>
      </w:r>
      <w:proofErr w:type="spellStart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>upselling</w:t>
      </w:r>
      <w:proofErr w:type="spellEnd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 y </w:t>
      </w:r>
      <w:proofErr w:type="spellStart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>cross-selling</w:t>
      </w:r>
      <w:proofErr w:type="spellEnd"/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. </w:t>
      </w:r>
      <w:r w:rsidRPr="00A324B6">
        <w:rPr>
          <w:rFonts w:ascii="Century Gothic" w:eastAsia="Century Gothic" w:hAnsi="Century Gothic" w:cs="Century Gothic"/>
          <w:b/>
          <w:bCs/>
          <w:i/>
          <w:iCs/>
          <w:color w:val="auto"/>
          <w:lang w:val="es-ES"/>
        </w:rPr>
        <w:t>Las inversiones en Data e Inteligencia Artificial están reforzando nuestra propuesta de valor</w:t>
      </w:r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, </w:t>
      </w:r>
      <w:r w:rsidRPr="00A324B6">
        <w:rPr>
          <w:rFonts w:ascii="Century Gothic" w:eastAsia="Century Gothic" w:hAnsi="Century Gothic" w:cs="Century Gothic"/>
          <w:b/>
          <w:bCs/>
          <w:i/>
          <w:iCs/>
          <w:color w:val="auto"/>
          <w:lang w:val="es-ES"/>
        </w:rPr>
        <w:t>al tiempo que generan nuevas oportunidades</w:t>
      </w:r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 para incrementar el uso de nuestras soluciones y monetizar la audiencia de nuestra plataforma B2B2C.</w:t>
      </w:r>
    </w:p>
    <w:p w14:paraId="06471D1C" w14:textId="77777777" w:rsidR="00A324B6" w:rsidRDefault="00A324B6" w:rsidP="00996808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</w:p>
    <w:p w14:paraId="504EE0A8" w14:textId="3653D8DD" w:rsidR="00996808" w:rsidRPr="00996808" w:rsidRDefault="00996808" w:rsidP="00996808">
      <w:pPr>
        <w:jc w:val="both"/>
        <w:rPr>
          <w:rFonts w:ascii="Century Gothic" w:eastAsia="Century Gothic" w:hAnsi="Century Gothic" w:cs="Century Gothic"/>
          <w:i/>
          <w:iCs/>
          <w:color w:val="auto"/>
          <w:lang w:val="es-ES"/>
        </w:rPr>
      </w:pPr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Por otro lado, </w:t>
      </w:r>
      <w:r w:rsidRPr="00A324B6">
        <w:rPr>
          <w:rFonts w:ascii="Century Gothic" w:eastAsia="Century Gothic" w:hAnsi="Century Gothic" w:cs="Century Gothic"/>
          <w:b/>
          <w:bCs/>
          <w:i/>
          <w:iCs/>
          <w:color w:val="auto"/>
          <w:lang w:val="es-ES"/>
        </w:rPr>
        <w:t>estamos muy orgullosos de que nuestro compromiso con la acción climática haya sido reconocido con una calificación ‘A’ por parte de CDP</w:t>
      </w:r>
      <w:r w:rsidRPr="00996808">
        <w:rPr>
          <w:rFonts w:ascii="Century Gothic" w:eastAsia="Century Gothic" w:hAnsi="Century Gothic" w:cs="Century Gothic"/>
          <w:i/>
          <w:iCs/>
          <w:color w:val="auto"/>
          <w:lang w:val="es-ES"/>
        </w:rPr>
        <w:t>. Este sólido comienzo de año nos permite reafirmar nuestros objetivos financieros para 2026, teniendo en cuenta que será un año de reajuste antes de retomar nuestra trayectoria de crecimiento sostenible y rentable a partir de 2027.”</w:t>
      </w:r>
    </w:p>
    <w:p w14:paraId="2004D732" w14:textId="77777777" w:rsidR="001B6F44" w:rsidRPr="00996808" w:rsidRDefault="001B6F44" w:rsidP="00D03656">
      <w:pPr>
        <w:jc w:val="both"/>
        <w:rPr>
          <w:i/>
          <w:iCs/>
          <w:lang w:val="es-ES"/>
        </w:rPr>
      </w:pPr>
    </w:p>
    <w:p w14:paraId="51E74DA8" w14:textId="49D88DA3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1C97301A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6F1D1B33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es-ES"/>
        </w:rPr>
        <w:t>Edenred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es líder </w:t>
      </w:r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global en </w:t>
      </w:r>
      <w:proofErr w:type="spellStart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Benefits</w:t>
      </w:r>
      <w:proofErr w:type="spellEnd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&amp; </w:t>
      </w:r>
      <w:proofErr w:type="spellStart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Engagement</w:t>
      </w:r>
      <w:proofErr w:type="spellEnd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Movilidad.</w:t>
      </w:r>
    </w:p>
    <w:p w14:paraId="4AA977DA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6267B7A4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Con más de 1 millón de empresas cliente en 44 países, la plataforma de Edenred ofrece a más de 60 millones de usuarios acceso a los servicios y productos de más de 2 millones de comercios asociados.</w:t>
      </w:r>
    </w:p>
    <w:p w14:paraId="3FFCF96D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66F9A52F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proporciona soluciones digitales dirigidas a profesionales (vales de comida, transporte al trabajo, tarjetas regalo, bienestar, incentivos y ofertas preferentes), a gestores de flotas (soluciones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multienergía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que incluyen recarga de vehículos eléctricos, servicios de mantenimiento, peajes y estacionamiento) y a pagos corporativos (tarjetas virtuales).</w:t>
      </w:r>
    </w:p>
    <w:p w14:paraId="1242ED12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2C8D7BB8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Guiadas por el propósito del Grupo, </w:t>
      </w: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“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Enrich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connections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. For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good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.”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, estas soluciones mejoran el bienestar y el poder adquisitivo de los profesionales y simplifican la vida de los conductores profesionales. Asimismo, fomentan el acceso a una alimentación más saludable, a productos más respetuosos con el medioambiente y a una movilidad más sostenible. Además, contribuyen a mejorar la atractividad y la eficiencia de las empresas, dinamizando al mismo tiempo el mercado laboral y las economías locales.</w:t>
      </w:r>
    </w:p>
    <w:p w14:paraId="4AD013D1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2B9507D4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lastRenderedPageBreak/>
        <w:t>Los 12.000 profesionales de Edenred trabajan cada día para hacer del mundo laboral un ecosistema más conectado, seguro, eficiente y responsable.</w:t>
      </w:r>
    </w:p>
    <w:p w14:paraId="0F5A0DC3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CCE98BB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 2025, gracias a su plataforma tecnológica única, el Grupo generó un volumen de negocio de 49.000 millones de euros, principalmente a través de aplicaciones móviles, plataformas online y tarjetas.</w:t>
      </w:r>
    </w:p>
    <w:p w14:paraId="6CC5FBD2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25AA8D8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cotiza en la Bolsa de París (Euronext Paris) y forma parte de los siguientes índices: CAC Next 20, CAC Large 60, Euronext 100, Euronext Tech Leaders, FTSE4Good,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Europe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World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.</w:t>
      </w:r>
    </w:p>
    <w:p w14:paraId="6B0C1C31" w14:textId="77777777" w:rsidR="009717C8" w:rsidRDefault="009717C8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4AA266B5" w14:textId="77777777" w:rsidR="009717C8" w:rsidRDefault="009717C8" w:rsidP="009717C8">
      <w:pPr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6"/>
          <w:szCs w:val="16"/>
          <w:lang w:val="es-ES"/>
        </w:rPr>
      </w:pP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0992604" w14:textId="77777777" w:rsidR="0034131E" w:rsidRPr="00833D4F" w:rsidRDefault="0034131E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6E54591E" w14:textId="77777777" w:rsidR="0034131E" w:rsidRPr="00833D4F" w:rsidRDefault="0034131E" w:rsidP="009717C8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b/>
          <w:color w:val="000000"/>
          <w:sz w:val="24"/>
          <w:szCs w:val="24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Marina Gascón | Patricia Vizcaíno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1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71CD1086" w14:textId="77777777" w:rsidR="0034131E" w:rsidRDefault="0034131E">
      <w:pPr>
        <w:ind w:left="141"/>
        <w:rPr>
          <w:color w:val="002060"/>
        </w:rPr>
      </w:pPr>
    </w:p>
    <w:p w14:paraId="1D04BF11" w14:textId="77777777" w:rsidR="003A6D56" w:rsidRPr="003A6D56" w:rsidRDefault="003A6D56" w:rsidP="003A6D56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 w:rsidRPr="003A6D56"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5A22A51F" w14:textId="77777777" w:rsidR="003A6D56" w:rsidRPr="003A6D56" w:rsidRDefault="003A6D56" w:rsidP="003A6D56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7E258E12" w14:textId="77777777" w:rsidR="003A6D56" w:rsidRPr="003A6D56" w:rsidRDefault="003A6D56" w:rsidP="003A6D56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3A6D56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7541DAA9" w14:textId="77777777" w:rsidR="0069557F" w:rsidRPr="00AB14C8" w:rsidRDefault="0069557F" w:rsidP="0069557F">
      <w:pPr>
        <w:rPr>
          <w:rFonts w:ascii="Century Gothic" w:hAnsi="Century Gothic" w:cs="Aptos"/>
          <w:b/>
          <w:bCs/>
          <w:color w:val="55517B"/>
          <w:lang w:val="es-ES"/>
        </w:rPr>
      </w:pPr>
    </w:p>
    <w:p w14:paraId="65CEE5DF" w14:textId="703A9FE3" w:rsidR="0069557F" w:rsidRPr="00AB14C8" w:rsidRDefault="0069557F" w:rsidP="0069557F">
      <w:pPr>
        <w:pStyle w:val="Prrafodelista"/>
        <w:numPr>
          <w:ilvl w:val="0"/>
          <w:numId w:val="25"/>
        </w:numPr>
        <w:suppressAutoHyphens w:val="0"/>
        <w:spacing w:line="240" w:lineRule="auto"/>
        <w:contextualSpacing w:val="0"/>
        <w:rPr>
          <w:rFonts w:ascii="Century Gothic" w:hAnsi="Century Gothic" w:cs="Calibri"/>
          <w:lang w:val="es-ES" w:eastAsia="zh-TW"/>
        </w:rPr>
      </w:pPr>
      <w:r w:rsidRPr="00AB14C8">
        <w:rPr>
          <w:rFonts w:ascii="Century Gothic" w:hAnsi="Century Gothic" w:cs="Calibri"/>
          <w:b/>
          <w:bCs/>
          <w:color w:val="000000"/>
          <w:lang w:val="es-ES"/>
        </w:rPr>
        <w:t>Equipos y Talento</w:t>
      </w:r>
      <w:r w:rsidR="006C0DEA" w:rsidRPr="00AB14C8"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Pr="00AB14C8">
        <w:rPr>
          <w:rFonts w:ascii="Century Gothic" w:hAnsi="Century Gothic" w:cs="Calibri"/>
          <w:b/>
          <w:bCs/>
          <w:color w:val="000000"/>
          <w:lang w:val="es-ES"/>
        </w:rPr>
        <w:t xml:space="preserve"> </w:t>
      </w:r>
      <w:hyperlink r:id="rId12" w:tgtFrame="_blank" w:history="1">
        <w:r w:rsidRPr="00AB14C8">
          <w:rPr>
            <w:rStyle w:val="Hipervnculo"/>
            <w:rFonts w:ascii="Century Gothic" w:hAnsi="Century Gothic" w:cs="Calibri"/>
            <w:lang w:val="es-ES"/>
          </w:rPr>
          <w:t>Edenred supera los 730 millones de euros en ingresos trimestrales</w:t>
        </w:r>
        <w:r w:rsidRPr="00AB14C8">
          <w:rPr>
            <w:rStyle w:val="Hipervnculo"/>
            <w:rFonts w:ascii="Century Gothic" w:hAnsi="Century Gothic" w:cs="Calibri"/>
            <w:b/>
            <w:bCs/>
            <w:lang w:val="es-ES"/>
          </w:rPr>
          <w:t>   </w:t>
        </w:r>
      </w:hyperlink>
    </w:p>
    <w:p w14:paraId="7ACD99C7" w14:textId="77777777" w:rsidR="003D3AD6" w:rsidRPr="00AB14C8" w:rsidRDefault="003D3AD6" w:rsidP="003D3AD6">
      <w:pPr>
        <w:pStyle w:val="Prrafodelista"/>
        <w:suppressAutoHyphens w:val="0"/>
        <w:spacing w:line="240" w:lineRule="auto"/>
        <w:ind w:left="1068"/>
        <w:contextualSpacing w:val="0"/>
        <w:rPr>
          <w:rFonts w:ascii="Century Gothic" w:hAnsi="Century Gothic" w:cs="Calibri"/>
          <w:lang w:val="es-ES" w:eastAsia="zh-TW"/>
        </w:rPr>
      </w:pPr>
    </w:p>
    <w:p w14:paraId="4D557926" w14:textId="79909BA5" w:rsidR="0069557F" w:rsidRPr="00AB14C8" w:rsidRDefault="0069557F" w:rsidP="0069557F">
      <w:pPr>
        <w:pStyle w:val="Prrafodelista"/>
        <w:numPr>
          <w:ilvl w:val="0"/>
          <w:numId w:val="25"/>
        </w:numPr>
        <w:suppressAutoHyphens w:val="0"/>
        <w:spacing w:line="240" w:lineRule="auto"/>
        <w:contextualSpacing w:val="0"/>
        <w:rPr>
          <w:rFonts w:ascii="Century Gothic" w:hAnsi="Century Gothic" w:cs="Calibri"/>
          <w:lang w:val="es-ES"/>
        </w:rPr>
      </w:pPr>
      <w:r w:rsidRPr="00AB14C8">
        <w:rPr>
          <w:rFonts w:ascii="Century Gothic" w:hAnsi="Century Gothic" w:cs="Calibri"/>
          <w:b/>
          <w:bCs/>
          <w:color w:val="000000"/>
          <w:lang w:val="es-ES"/>
        </w:rPr>
        <w:t>Crónica Económico</w:t>
      </w:r>
      <w:r w:rsidR="006C0DEA" w:rsidRPr="00AB14C8"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Pr="00AB14C8">
        <w:rPr>
          <w:rFonts w:ascii="Century Gothic" w:hAnsi="Century Gothic" w:cs="Calibri"/>
          <w:color w:val="000000"/>
          <w:lang w:val="es-ES"/>
        </w:rPr>
        <w:t xml:space="preserve"> </w:t>
      </w:r>
      <w:hyperlink r:id="rId13" w:tgtFrame="_blank" w:history="1">
        <w:r w:rsidRPr="00AB14C8">
          <w:rPr>
            <w:rStyle w:val="Hipervnculo"/>
            <w:rFonts w:ascii="Century Gothic" w:hAnsi="Century Gothic" w:cs="Calibri"/>
            <w:lang w:val="es-ES"/>
          </w:rPr>
          <w:t>EDENRED 730 M€ de ingresos en el 1T 2026   </w:t>
        </w:r>
      </w:hyperlink>
    </w:p>
    <w:p w14:paraId="04CAF88E" w14:textId="77777777" w:rsidR="006C0DEA" w:rsidRPr="00AB14C8" w:rsidRDefault="006C0DEA" w:rsidP="006C0DEA">
      <w:pPr>
        <w:pStyle w:val="Prrafodelista"/>
        <w:rPr>
          <w:rFonts w:ascii="Century Gothic" w:hAnsi="Century Gothic" w:cs="Calibri"/>
          <w:lang w:val="es-ES"/>
        </w:rPr>
      </w:pPr>
    </w:p>
    <w:p w14:paraId="0B08A7B9" w14:textId="4FA7FE78" w:rsidR="00D63AF5" w:rsidRPr="00AB14C8" w:rsidRDefault="006C0DEA" w:rsidP="00D63AF5">
      <w:pPr>
        <w:pStyle w:val="Prrafodelista"/>
        <w:numPr>
          <w:ilvl w:val="0"/>
          <w:numId w:val="25"/>
        </w:numPr>
        <w:suppressAutoHyphens w:val="0"/>
        <w:spacing w:line="240" w:lineRule="auto"/>
        <w:rPr>
          <w:rFonts w:ascii="Century Gothic" w:hAnsi="Century Gothic" w:cs="Calibri"/>
          <w:b/>
          <w:bCs/>
          <w:color w:val="000000"/>
          <w:lang w:val="en-US"/>
        </w:rPr>
      </w:pPr>
      <w:proofErr w:type="spellStart"/>
      <w:r w:rsidRPr="00AB14C8">
        <w:rPr>
          <w:rFonts w:ascii="Century Gothic" w:hAnsi="Century Gothic" w:cs="Calibri"/>
          <w:b/>
          <w:bCs/>
          <w:color w:val="000000"/>
          <w:lang w:val="en-US"/>
        </w:rPr>
        <w:t>RRHHPress</w:t>
      </w:r>
      <w:proofErr w:type="spellEnd"/>
      <w:r w:rsidRPr="00AB14C8">
        <w:rPr>
          <w:rFonts w:ascii="Century Gothic" w:hAnsi="Century Gothic" w:cs="Calibri"/>
          <w:b/>
          <w:bCs/>
          <w:color w:val="000000"/>
          <w:lang w:val="en-US"/>
        </w:rPr>
        <w:t xml:space="preserve">: </w:t>
      </w:r>
      <w:hyperlink r:id="rId14" w:history="1">
        <w:hyperlink r:id="rId15" w:tooltip="Edenred alcanza los 730 millones de euros en ingresos en el primer trimestre de 2026" w:history="1">
          <w:r w:rsidR="00D63AF5" w:rsidRPr="00AB14C8">
            <w:rPr>
              <w:rStyle w:val="Hipervnculo"/>
              <w:rFonts w:ascii="Century Gothic" w:hAnsi="Century Gothic" w:cs="Calibri"/>
              <w:lang w:val="en-US"/>
            </w:rPr>
            <w:t>Edenred</w:t>
          </w:r>
          <w:r w:rsidR="00D63AF5" w:rsidRPr="00AB14C8">
            <w:rPr>
              <w:rStyle w:val="Hipervnculo"/>
              <w:rFonts w:ascii="Century Gothic" w:hAnsi="Century Gothic" w:cs="Calibri"/>
              <w:lang w:val="en-US"/>
            </w:rPr>
            <w:t xml:space="preserve"> </w:t>
          </w:r>
          <w:r w:rsidR="00D63AF5" w:rsidRPr="00AB14C8">
            <w:rPr>
              <w:rStyle w:val="Hipervnculo"/>
              <w:rFonts w:ascii="Century Gothic" w:hAnsi="Century Gothic" w:cs="Calibri"/>
              <w:lang w:val="en-US"/>
            </w:rPr>
            <w:t>alcanza los 730 millones de euros en ingresos en el primer trimestre de 2026</w:t>
          </w:r>
        </w:hyperlink>
      </w:hyperlink>
    </w:p>
    <w:p w14:paraId="77D11F6C" w14:textId="77777777" w:rsidR="00D63AF5" w:rsidRPr="00D63AF5" w:rsidRDefault="00D63AF5" w:rsidP="00D63AF5">
      <w:pPr>
        <w:pStyle w:val="Prrafodelista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</w:p>
    <w:p w14:paraId="5B8426CB" w14:textId="77777777" w:rsidR="00D63AF5" w:rsidRPr="00D63AF5" w:rsidRDefault="00D63AF5" w:rsidP="00D63AF5">
      <w:pPr>
        <w:suppressAutoHyphens w:val="0"/>
        <w:spacing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</w:p>
    <w:p w14:paraId="1DE8BDED" w14:textId="66170E17" w:rsidR="006C0DEA" w:rsidRPr="00D63AF5" w:rsidRDefault="006C0DEA" w:rsidP="00D63AF5">
      <w:pPr>
        <w:pStyle w:val="Prrafodelista"/>
        <w:suppressAutoHyphens w:val="0"/>
        <w:spacing w:line="240" w:lineRule="auto"/>
        <w:ind w:left="1068"/>
        <w:contextualSpacing w:val="0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</w:p>
    <w:p w14:paraId="348BE0F5" w14:textId="77777777" w:rsidR="0069557F" w:rsidRPr="003A6D56" w:rsidRDefault="0069557F" w:rsidP="0069557F">
      <w:pPr>
        <w:suppressAutoHyphens w:val="0"/>
        <w:spacing w:line="240" w:lineRule="auto"/>
        <w:ind w:left="1068"/>
        <w:contextualSpacing/>
        <w:rPr>
          <w:rFonts w:ascii="Aptos" w:hAnsi="Aptos" w:cs="Aptos"/>
          <w:b/>
          <w:bCs/>
          <w:color w:val="55517B"/>
          <w:lang w:val="en-US"/>
        </w:rPr>
      </w:pPr>
    </w:p>
    <w:p w14:paraId="62FFDE23" w14:textId="77777777" w:rsidR="0034131E" w:rsidRPr="00D63AF5" w:rsidRDefault="0034131E">
      <w:pPr>
        <w:tabs>
          <w:tab w:val="left" w:pos="2760"/>
        </w:tabs>
        <w:rPr>
          <w:lang w:val="en-US"/>
        </w:rPr>
      </w:pPr>
    </w:p>
    <w:sectPr w:rsidR="0034131E" w:rsidRPr="00D63AF5">
      <w:footerReference w:type="default" r:id="rId1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4AC3" w14:textId="77777777" w:rsidR="00737DB5" w:rsidRDefault="00737DB5">
      <w:pPr>
        <w:spacing w:line="240" w:lineRule="auto"/>
      </w:pPr>
      <w:r>
        <w:separator/>
      </w:r>
    </w:p>
  </w:endnote>
  <w:endnote w:type="continuationSeparator" w:id="0">
    <w:p w14:paraId="10088F18" w14:textId="77777777" w:rsidR="00737DB5" w:rsidRDefault="00737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04048C11-682C-4D4C-B9F0-59D0C1108130}"/>
    <w:embedBold r:id="rId2" w:fontKey="{47D5DDB3-38A4-4344-A77B-0ACCB1FC0940}"/>
    <w:embedItalic r:id="rId3" w:fontKey="{5AEAD1C8-9C84-4F62-8977-7152EEF5F5CE}"/>
    <w:embedBoldItalic r:id="rId4" w:fontKey="{A74D4030-C260-47B4-8F8C-C5CDBAA71FA0}"/>
  </w:font>
  <w:font w:name="URW Gothic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DAA6077-149E-40D8-B09F-27876C0AA0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09B08D4-4310-4570-955D-7ACAA4A8F9B0}"/>
    <w:embedBold r:id="rId7" w:fontKey="{242DFBBD-83FC-4E2A-A592-6649753C74B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063260AA-D5C4-4CDB-A5D2-C236BCBBFBBA}"/>
    <w:embedItalic r:id="rId9" w:fontKey="{3CD1F076-C949-4A44-BD6E-E25BEDCD762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F47F3305-63BB-4D9B-8B8C-457FE28908E2}"/>
    <w:embedBold r:id="rId11" w:fontKey="{24D62E6E-5EDC-4108-933C-9C9AD407F7C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11234126-3FB6-4C02-9889-3592E837A6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B249" w14:textId="77777777" w:rsidR="00737DB5" w:rsidRDefault="00737DB5">
      <w:pPr>
        <w:spacing w:line="240" w:lineRule="auto"/>
      </w:pPr>
      <w:r>
        <w:separator/>
      </w:r>
    </w:p>
  </w:footnote>
  <w:footnote w:type="continuationSeparator" w:id="0">
    <w:p w14:paraId="550F24B6" w14:textId="77777777" w:rsidR="00737DB5" w:rsidRDefault="00737DB5">
      <w:pPr>
        <w:spacing w:line="240" w:lineRule="auto"/>
      </w:pPr>
      <w:r>
        <w:continuationSeparator/>
      </w:r>
    </w:p>
  </w:footnote>
  <w:footnote w:id="1">
    <w:p w14:paraId="62CF0ADB" w14:textId="5B02F854" w:rsidR="00457D0C" w:rsidRPr="008528A6" w:rsidRDefault="00457D0C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A6D56">
        <w:rPr>
          <w:lang w:val="en-US"/>
        </w:rPr>
        <w:t xml:space="preserve"> </w:t>
      </w:r>
      <w:r w:rsidR="008528A6" w:rsidRPr="003A6D56">
        <w:rPr>
          <w:lang w:val="en-US"/>
        </w:rPr>
        <w:t>Like-for-like growth, excluding impact from regulatory change in Italy and Brazil</w:t>
      </w:r>
    </w:p>
  </w:footnote>
  <w:footnote w:id="2">
    <w:p w14:paraId="3F99FE48" w14:textId="1D203D65" w:rsidR="008528A6" w:rsidRPr="008528A6" w:rsidRDefault="008528A6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A6D56">
        <w:rPr>
          <w:lang w:val="en-US"/>
        </w:rPr>
        <w:t xml:space="preserve"> At constant regulations and methodologies (e.g. excl. impact from regulatory change in Brazil and Italy)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5B5F"/>
    <w:multiLevelType w:val="multilevel"/>
    <w:tmpl w:val="2C6A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56079"/>
    <w:multiLevelType w:val="hybridMultilevel"/>
    <w:tmpl w:val="9CF04C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44AC5"/>
    <w:multiLevelType w:val="multilevel"/>
    <w:tmpl w:val="640A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0965C14"/>
    <w:multiLevelType w:val="multilevel"/>
    <w:tmpl w:val="8BD4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1B04D7"/>
    <w:multiLevelType w:val="multilevel"/>
    <w:tmpl w:val="D59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867B9"/>
    <w:multiLevelType w:val="hybridMultilevel"/>
    <w:tmpl w:val="0CB625B6"/>
    <w:lvl w:ilvl="0" w:tplc="5EC29DB8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A13ED"/>
    <w:multiLevelType w:val="multilevel"/>
    <w:tmpl w:val="3A92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42090"/>
    <w:multiLevelType w:val="multilevel"/>
    <w:tmpl w:val="D8D0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B1BCF"/>
    <w:multiLevelType w:val="hybridMultilevel"/>
    <w:tmpl w:val="2F66B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63E5F"/>
    <w:multiLevelType w:val="multilevel"/>
    <w:tmpl w:val="EA3E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89529C"/>
    <w:multiLevelType w:val="hybridMultilevel"/>
    <w:tmpl w:val="D3C263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1B2547"/>
    <w:multiLevelType w:val="multilevel"/>
    <w:tmpl w:val="936C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13BAB"/>
    <w:multiLevelType w:val="multilevel"/>
    <w:tmpl w:val="A6A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21CF7"/>
    <w:multiLevelType w:val="multilevel"/>
    <w:tmpl w:val="E9B8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D3B1F"/>
    <w:multiLevelType w:val="multilevel"/>
    <w:tmpl w:val="A64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6F7F25"/>
    <w:multiLevelType w:val="multilevel"/>
    <w:tmpl w:val="21AE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81B8E"/>
    <w:multiLevelType w:val="hybridMultilevel"/>
    <w:tmpl w:val="7722DF90"/>
    <w:lvl w:ilvl="0" w:tplc="AC9EDC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F14517E"/>
    <w:multiLevelType w:val="multilevel"/>
    <w:tmpl w:val="244E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A45956"/>
    <w:multiLevelType w:val="multilevel"/>
    <w:tmpl w:val="28A6CB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RW Gothic" w:eastAsia="URW Gothic" w:hAnsi="URW Gothic" w:cs="URW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B340A"/>
    <w:multiLevelType w:val="multilevel"/>
    <w:tmpl w:val="3A96FD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6B4B88"/>
    <w:multiLevelType w:val="hybridMultilevel"/>
    <w:tmpl w:val="C29EC90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CB65CE6"/>
    <w:multiLevelType w:val="multilevel"/>
    <w:tmpl w:val="45F8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B04E24"/>
    <w:multiLevelType w:val="multilevel"/>
    <w:tmpl w:val="0B86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246018">
    <w:abstractNumId w:val="5"/>
  </w:num>
  <w:num w:numId="2" w16cid:durableId="620915189">
    <w:abstractNumId w:val="3"/>
  </w:num>
  <w:num w:numId="3" w16cid:durableId="950282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698190">
    <w:abstractNumId w:val="2"/>
  </w:num>
  <w:num w:numId="5" w16cid:durableId="1620795933">
    <w:abstractNumId w:val="15"/>
  </w:num>
  <w:num w:numId="6" w16cid:durableId="615062920">
    <w:abstractNumId w:val="17"/>
  </w:num>
  <w:num w:numId="7" w16cid:durableId="1644777061">
    <w:abstractNumId w:val="12"/>
  </w:num>
  <w:num w:numId="8" w16cid:durableId="948393040">
    <w:abstractNumId w:val="10"/>
  </w:num>
  <w:num w:numId="9" w16cid:durableId="415787886">
    <w:abstractNumId w:val="21"/>
  </w:num>
  <w:num w:numId="10" w16cid:durableId="646012108">
    <w:abstractNumId w:val="8"/>
  </w:num>
  <w:num w:numId="11" w16cid:durableId="372310515">
    <w:abstractNumId w:val="13"/>
  </w:num>
  <w:num w:numId="12" w16cid:durableId="104082762">
    <w:abstractNumId w:val="7"/>
  </w:num>
  <w:num w:numId="13" w16cid:durableId="259801345">
    <w:abstractNumId w:val="20"/>
  </w:num>
  <w:num w:numId="14" w16cid:durableId="1071276580">
    <w:abstractNumId w:val="9"/>
  </w:num>
  <w:num w:numId="15" w16cid:durableId="1909462321">
    <w:abstractNumId w:val="16"/>
  </w:num>
  <w:num w:numId="16" w16cid:durableId="1562908601">
    <w:abstractNumId w:val="14"/>
  </w:num>
  <w:num w:numId="17" w16cid:durableId="713041676">
    <w:abstractNumId w:val="11"/>
  </w:num>
  <w:num w:numId="18" w16cid:durableId="579602307">
    <w:abstractNumId w:val="19"/>
  </w:num>
  <w:num w:numId="19" w16cid:durableId="1397127095">
    <w:abstractNumId w:val="6"/>
  </w:num>
  <w:num w:numId="20" w16cid:durableId="1547065516">
    <w:abstractNumId w:val="23"/>
  </w:num>
  <w:num w:numId="21" w16cid:durableId="673535894">
    <w:abstractNumId w:val="0"/>
  </w:num>
  <w:num w:numId="22" w16cid:durableId="1376152406">
    <w:abstractNumId w:val="24"/>
  </w:num>
  <w:num w:numId="23" w16cid:durableId="700475634">
    <w:abstractNumId w:val="4"/>
  </w:num>
  <w:num w:numId="24" w16cid:durableId="1300259229">
    <w:abstractNumId w:val="1"/>
  </w:num>
  <w:num w:numId="25" w16cid:durableId="18339987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8110965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04095"/>
    <w:rsid w:val="000068E3"/>
    <w:rsid w:val="00022255"/>
    <w:rsid w:val="00025630"/>
    <w:rsid w:val="00025F0A"/>
    <w:rsid w:val="00025F65"/>
    <w:rsid w:val="000323C6"/>
    <w:rsid w:val="00035309"/>
    <w:rsid w:val="0003750C"/>
    <w:rsid w:val="00041721"/>
    <w:rsid w:val="000417DA"/>
    <w:rsid w:val="0004474C"/>
    <w:rsid w:val="000512F0"/>
    <w:rsid w:val="00053526"/>
    <w:rsid w:val="0005490B"/>
    <w:rsid w:val="00054F03"/>
    <w:rsid w:val="00071659"/>
    <w:rsid w:val="0007216B"/>
    <w:rsid w:val="000873EB"/>
    <w:rsid w:val="00092205"/>
    <w:rsid w:val="000A4CBF"/>
    <w:rsid w:val="000B15B7"/>
    <w:rsid w:val="000E5BEA"/>
    <w:rsid w:val="000F4162"/>
    <w:rsid w:val="000F6F2F"/>
    <w:rsid w:val="00106125"/>
    <w:rsid w:val="00122812"/>
    <w:rsid w:val="00124824"/>
    <w:rsid w:val="00125440"/>
    <w:rsid w:val="001325F8"/>
    <w:rsid w:val="00133556"/>
    <w:rsid w:val="001361C7"/>
    <w:rsid w:val="001509D5"/>
    <w:rsid w:val="001533EB"/>
    <w:rsid w:val="0015572E"/>
    <w:rsid w:val="001724EC"/>
    <w:rsid w:val="0017574A"/>
    <w:rsid w:val="001832D9"/>
    <w:rsid w:val="0018413A"/>
    <w:rsid w:val="00187A61"/>
    <w:rsid w:val="00196D68"/>
    <w:rsid w:val="001B3304"/>
    <w:rsid w:val="001B6F44"/>
    <w:rsid w:val="001C4938"/>
    <w:rsid w:val="001D2A91"/>
    <w:rsid w:val="001D65D3"/>
    <w:rsid w:val="001D6EE6"/>
    <w:rsid w:val="001E738B"/>
    <w:rsid w:val="001F077B"/>
    <w:rsid w:val="001F472E"/>
    <w:rsid w:val="001F687B"/>
    <w:rsid w:val="001F79A2"/>
    <w:rsid w:val="002023FC"/>
    <w:rsid w:val="00202F85"/>
    <w:rsid w:val="00203447"/>
    <w:rsid w:val="0021067C"/>
    <w:rsid w:val="00215502"/>
    <w:rsid w:val="00220411"/>
    <w:rsid w:val="0023680A"/>
    <w:rsid w:val="00240BFF"/>
    <w:rsid w:val="00240C55"/>
    <w:rsid w:val="002500B4"/>
    <w:rsid w:val="0025118D"/>
    <w:rsid w:val="00251D9A"/>
    <w:rsid w:val="0026388D"/>
    <w:rsid w:val="002665DB"/>
    <w:rsid w:val="00282D32"/>
    <w:rsid w:val="00292119"/>
    <w:rsid w:val="00293519"/>
    <w:rsid w:val="00295F42"/>
    <w:rsid w:val="002A08A5"/>
    <w:rsid w:val="002A32F6"/>
    <w:rsid w:val="002A58F6"/>
    <w:rsid w:val="002AC8F9"/>
    <w:rsid w:val="002D4BFB"/>
    <w:rsid w:val="002E2116"/>
    <w:rsid w:val="002E2D5A"/>
    <w:rsid w:val="002E4084"/>
    <w:rsid w:val="002F6B0B"/>
    <w:rsid w:val="00306C54"/>
    <w:rsid w:val="00316012"/>
    <w:rsid w:val="00323902"/>
    <w:rsid w:val="003242B0"/>
    <w:rsid w:val="0033161C"/>
    <w:rsid w:val="0034131E"/>
    <w:rsid w:val="00346AD9"/>
    <w:rsid w:val="003470F9"/>
    <w:rsid w:val="00350B2A"/>
    <w:rsid w:val="00352B26"/>
    <w:rsid w:val="003530F0"/>
    <w:rsid w:val="00356430"/>
    <w:rsid w:val="0035750B"/>
    <w:rsid w:val="00363BD6"/>
    <w:rsid w:val="0037071E"/>
    <w:rsid w:val="00372049"/>
    <w:rsid w:val="00372C87"/>
    <w:rsid w:val="003845A2"/>
    <w:rsid w:val="003871DC"/>
    <w:rsid w:val="003934A1"/>
    <w:rsid w:val="0039534F"/>
    <w:rsid w:val="003A6ABA"/>
    <w:rsid w:val="003A6D56"/>
    <w:rsid w:val="003B08CC"/>
    <w:rsid w:val="003B1B90"/>
    <w:rsid w:val="003B6073"/>
    <w:rsid w:val="003C0022"/>
    <w:rsid w:val="003D2293"/>
    <w:rsid w:val="003D3AD6"/>
    <w:rsid w:val="003D5524"/>
    <w:rsid w:val="003E2D6C"/>
    <w:rsid w:val="003E2FB8"/>
    <w:rsid w:val="003E7120"/>
    <w:rsid w:val="004106E1"/>
    <w:rsid w:val="004162FF"/>
    <w:rsid w:val="00420B2F"/>
    <w:rsid w:val="00420F6F"/>
    <w:rsid w:val="00427E2A"/>
    <w:rsid w:val="00440013"/>
    <w:rsid w:val="004402DC"/>
    <w:rsid w:val="0045258F"/>
    <w:rsid w:val="0045496E"/>
    <w:rsid w:val="00457D0C"/>
    <w:rsid w:val="00457E63"/>
    <w:rsid w:val="0047282A"/>
    <w:rsid w:val="004947B0"/>
    <w:rsid w:val="004B0ABE"/>
    <w:rsid w:val="004B1BA1"/>
    <w:rsid w:val="004B6C7F"/>
    <w:rsid w:val="004C0418"/>
    <w:rsid w:val="004C218A"/>
    <w:rsid w:val="004D721E"/>
    <w:rsid w:val="004E5017"/>
    <w:rsid w:val="00504A98"/>
    <w:rsid w:val="00505983"/>
    <w:rsid w:val="00505EFC"/>
    <w:rsid w:val="00513785"/>
    <w:rsid w:val="005160D2"/>
    <w:rsid w:val="00550198"/>
    <w:rsid w:val="005667E4"/>
    <w:rsid w:val="0057489F"/>
    <w:rsid w:val="00577129"/>
    <w:rsid w:val="00582CBC"/>
    <w:rsid w:val="00584BD2"/>
    <w:rsid w:val="00584EC4"/>
    <w:rsid w:val="00590726"/>
    <w:rsid w:val="005A0C33"/>
    <w:rsid w:val="005A49F7"/>
    <w:rsid w:val="005C31B6"/>
    <w:rsid w:val="005D09EE"/>
    <w:rsid w:val="005D44D8"/>
    <w:rsid w:val="005D5C33"/>
    <w:rsid w:val="005E195F"/>
    <w:rsid w:val="005F1892"/>
    <w:rsid w:val="00600759"/>
    <w:rsid w:val="006053DD"/>
    <w:rsid w:val="00605A7B"/>
    <w:rsid w:val="00613398"/>
    <w:rsid w:val="006161AE"/>
    <w:rsid w:val="00643AAD"/>
    <w:rsid w:val="00665B97"/>
    <w:rsid w:val="006662D7"/>
    <w:rsid w:val="006665A6"/>
    <w:rsid w:val="006674B5"/>
    <w:rsid w:val="00667F07"/>
    <w:rsid w:val="0068486D"/>
    <w:rsid w:val="00693B0A"/>
    <w:rsid w:val="0069557F"/>
    <w:rsid w:val="006A2018"/>
    <w:rsid w:val="006C0DEA"/>
    <w:rsid w:val="006C0F32"/>
    <w:rsid w:val="006C703E"/>
    <w:rsid w:val="006D0E3A"/>
    <w:rsid w:val="006D4363"/>
    <w:rsid w:val="006E4D06"/>
    <w:rsid w:val="006F503B"/>
    <w:rsid w:val="00705CB8"/>
    <w:rsid w:val="00711AC4"/>
    <w:rsid w:val="00713768"/>
    <w:rsid w:val="00713AC2"/>
    <w:rsid w:val="00714118"/>
    <w:rsid w:val="007142AE"/>
    <w:rsid w:val="0071623A"/>
    <w:rsid w:val="00720D3A"/>
    <w:rsid w:val="00726216"/>
    <w:rsid w:val="00736ABB"/>
    <w:rsid w:val="00737DB5"/>
    <w:rsid w:val="00741E0C"/>
    <w:rsid w:val="007464E8"/>
    <w:rsid w:val="00751D20"/>
    <w:rsid w:val="007526FE"/>
    <w:rsid w:val="00754BD4"/>
    <w:rsid w:val="0075745C"/>
    <w:rsid w:val="007624FC"/>
    <w:rsid w:val="00766BAF"/>
    <w:rsid w:val="0078018B"/>
    <w:rsid w:val="007818AD"/>
    <w:rsid w:val="007939DF"/>
    <w:rsid w:val="00793DB6"/>
    <w:rsid w:val="007A18EE"/>
    <w:rsid w:val="007A254F"/>
    <w:rsid w:val="007A4627"/>
    <w:rsid w:val="007A4899"/>
    <w:rsid w:val="007B551B"/>
    <w:rsid w:val="007C753D"/>
    <w:rsid w:val="007C7B55"/>
    <w:rsid w:val="007D1E1B"/>
    <w:rsid w:val="007D3A70"/>
    <w:rsid w:val="007E0322"/>
    <w:rsid w:val="007E0FDF"/>
    <w:rsid w:val="007F01E3"/>
    <w:rsid w:val="007F361A"/>
    <w:rsid w:val="0080549B"/>
    <w:rsid w:val="0081117A"/>
    <w:rsid w:val="00816D2B"/>
    <w:rsid w:val="0083385A"/>
    <w:rsid w:val="00833D4F"/>
    <w:rsid w:val="0084066C"/>
    <w:rsid w:val="00842961"/>
    <w:rsid w:val="008528A6"/>
    <w:rsid w:val="00857B31"/>
    <w:rsid w:val="00867695"/>
    <w:rsid w:val="008772FF"/>
    <w:rsid w:val="00880B27"/>
    <w:rsid w:val="0088228D"/>
    <w:rsid w:val="0088391F"/>
    <w:rsid w:val="0089688A"/>
    <w:rsid w:val="008B1380"/>
    <w:rsid w:val="008B282B"/>
    <w:rsid w:val="008B3796"/>
    <w:rsid w:val="008B41AE"/>
    <w:rsid w:val="008C1849"/>
    <w:rsid w:val="008C5C42"/>
    <w:rsid w:val="008D40B2"/>
    <w:rsid w:val="008D4734"/>
    <w:rsid w:val="008D77A2"/>
    <w:rsid w:val="008F4B3F"/>
    <w:rsid w:val="008F64D6"/>
    <w:rsid w:val="0091303A"/>
    <w:rsid w:val="00915638"/>
    <w:rsid w:val="00922EAE"/>
    <w:rsid w:val="0092607F"/>
    <w:rsid w:val="00936408"/>
    <w:rsid w:val="00941FE5"/>
    <w:rsid w:val="009437D4"/>
    <w:rsid w:val="0096069A"/>
    <w:rsid w:val="00963D99"/>
    <w:rsid w:val="009717C8"/>
    <w:rsid w:val="00971FE1"/>
    <w:rsid w:val="0097713A"/>
    <w:rsid w:val="00980339"/>
    <w:rsid w:val="00996808"/>
    <w:rsid w:val="009A6777"/>
    <w:rsid w:val="009A6BE4"/>
    <w:rsid w:val="009C2205"/>
    <w:rsid w:val="009C2F55"/>
    <w:rsid w:val="009D71F7"/>
    <w:rsid w:val="009E4AFC"/>
    <w:rsid w:val="009F4EA4"/>
    <w:rsid w:val="009F5D79"/>
    <w:rsid w:val="00A0047A"/>
    <w:rsid w:val="00A07989"/>
    <w:rsid w:val="00A120D0"/>
    <w:rsid w:val="00A12632"/>
    <w:rsid w:val="00A144BA"/>
    <w:rsid w:val="00A153E8"/>
    <w:rsid w:val="00A324B6"/>
    <w:rsid w:val="00A329FB"/>
    <w:rsid w:val="00A367C9"/>
    <w:rsid w:val="00A446DD"/>
    <w:rsid w:val="00A458BE"/>
    <w:rsid w:val="00A50C82"/>
    <w:rsid w:val="00A514EC"/>
    <w:rsid w:val="00A51A29"/>
    <w:rsid w:val="00A63651"/>
    <w:rsid w:val="00A6484B"/>
    <w:rsid w:val="00A75C6D"/>
    <w:rsid w:val="00A76561"/>
    <w:rsid w:val="00A95D2A"/>
    <w:rsid w:val="00AA3086"/>
    <w:rsid w:val="00AB14C8"/>
    <w:rsid w:val="00AC25DE"/>
    <w:rsid w:val="00AD5033"/>
    <w:rsid w:val="00AE6FF0"/>
    <w:rsid w:val="00B127EA"/>
    <w:rsid w:val="00B15D8C"/>
    <w:rsid w:val="00B22000"/>
    <w:rsid w:val="00B35B98"/>
    <w:rsid w:val="00B36B85"/>
    <w:rsid w:val="00B43D04"/>
    <w:rsid w:val="00B52170"/>
    <w:rsid w:val="00B70AFB"/>
    <w:rsid w:val="00B77553"/>
    <w:rsid w:val="00B96983"/>
    <w:rsid w:val="00BA1F2A"/>
    <w:rsid w:val="00BA70E9"/>
    <w:rsid w:val="00BB29B5"/>
    <w:rsid w:val="00BB4148"/>
    <w:rsid w:val="00BC6A55"/>
    <w:rsid w:val="00BC7B11"/>
    <w:rsid w:val="00BD0652"/>
    <w:rsid w:val="00BD2594"/>
    <w:rsid w:val="00BE1228"/>
    <w:rsid w:val="00BE6191"/>
    <w:rsid w:val="00BF2B92"/>
    <w:rsid w:val="00C03BAF"/>
    <w:rsid w:val="00C07913"/>
    <w:rsid w:val="00C355E6"/>
    <w:rsid w:val="00C40BEB"/>
    <w:rsid w:val="00C53F92"/>
    <w:rsid w:val="00C54FD6"/>
    <w:rsid w:val="00C62290"/>
    <w:rsid w:val="00C85D30"/>
    <w:rsid w:val="00CA154F"/>
    <w:rsid w:val="00CA6FAD"/>
    <w:rsid w:val="00CB3941"/>
    <w:rsid w:val="00CB5AED"/>
    <w:rsid w:val="00CB702A"/>
    <w:rsid w:val="00CB791B"/>
    <w:rsid w:val="00CD5537"/>
    <w:rsid w:val="00CE15AF"/>
    <w:rsid w:val="00D03656"/>
    <w:rsid w:val="00D0547E"/>
    <w:rsid w:val="00D1268A"/>
    <w:rsid w:val="00D13FE4"/>
    <w:rsid w:val="00D1622C"/>
    <w:rsid w:val="00D17EE6"/>
    <w:rsid w:val="00D3189C"/>
    <w:rsid w:val="00D339B9"/>
    <w:rsid w:val="00D60657"/>
    <w:rsid w:val="00D63AF5"/>
    <w:rsid w:val="00D77A2F"/>
    <w:rsid w:val="00D803AC"/>
    <w:rsid w:val="00D87718"/>
    <w:rsid w:val="00D91B81"/>
    <w:rsid w:val="00D92E54"/>
    <w:rsid w:val="00D92F2E"/>
    <w:rsid w:val="00DA44E2"/>
    <w:rsid w:val="00DA4651"/>
    <w:rsid w:val="00DB05D1"/>
    <w:rsid w:val="00DB0FC4"/>
    <w:rsid w:val="00DD27EF"/>
    <w:rsid w:val="00DD5276"/>
    <w:rsid w:val="00DE0B37"/>
    <w:rsid w:val="00DE42DC"/>
    <w:rsid w:val="00DE7FC7"/>
    <w:rsid w:val="00DF1697"/>
    <w:rsid w:val="00E006BE"/>
    <w:rsid w:val="00E06DEB"/>
    <w:rsid w:val="00E21942"/>
    <w:rsid w:val="00E21E9B"/>
    <w:rsid w:val="00E22330"/>
    <w:rsid w:val="00E240DD"/>
    <w:rsid w:val="00E36C9E"/>
    <w:rsid w:val="00E52092"/>
    <w:rsid w:val="00E62368"/>
    <w:rsid w:val="00E660F9"/>
    <w:rsid w:val="00E7181B"/>
    <w:rsid w:val="00E72906"/>
    <w:rsid w:val="00E73445"/>
    <w:rsid w:val="00E82000"/>
    <w:rsid w:val="00E8331B"/>
    <w:rsid w:val="00E83C62"/>
    <w:rsid w:val="00E847E1"/>
    <w:rsid w:val="00E87CFB"/>
    <w:rsid w:val="00E95017"/>
    <w:rsid w:val="00E96913"/>
    <w:rsid w:val="00EA2718"/>
    <w:rsid w:val="00EA5BD2"/>
    <w:rsid w:val="00EB2FEF"/>
    <w:rsid w:val="00EB4EE9"/>
    <w:rsid w:val="00ED40D2"/>
    <w:rsid w:val="00ED61EE"/>
    <w:rsid w:val="00ED7249"/>
    <w:rsid w:val="00EE2FCB"/>
    <w:rsid w:val="00EF143C"/>
    <w:rsid w:val="00F0119D"/>
    <w:rsid w:val="00F06410"/>
    <w:rsid w:val="00F127EF"/>
    <w:rsid w:val="00F16D4A"/>
    <w:rsid w:val="00F205CD"/>
    <w:rsid w:val="00F22467"/>
    <w:rsid w:val="00F300B0"/>
    <w:rsid w:val="00F30A2E"/>
    <w:rsid w:val="00F348CD"/>
    <w:rsid w:val="00F42A44"/>
    <w:rsid w:val="00F43594"/>
    <w:rsid w:val="00F44031"/>
    <w:rsid w:val="00F539A2"/>
    <w:rsid w:val="00F600BE"/>
    <w:rsid w:val="00F65124"/>
    <w:rsid w:val="00F71D13"/>
    <w:rsid w:val="00F74CB2"/>
    <w:rsid w:val="00F832FE"/>
    <w:rsid w:val="00F92ECE"/>
    <w:rsid w:val="00F964D3"/>
    <w:rsid w:val="00FC5675"/>
    <w:rsid w:val="00FD4C4E"/>
    <w:rsid w:val="00FD76EF"/>
    <w:rsid w:val="00FE17FD"/>
    <w:rsid w:val="00FE19E7"/>
    <w:rsid w:val="00FE7B55"/>
    <w:rsid w:val="00FF4442"/>
    <w:rsid w:val="05F2F5FE"/>
    <w:rsid w:val="065F4BB8"/>
    <w:rsid w:val="09EFB7A2"/>
    <w:rsid w:val="0E6A4D40"/>
    <w:rsid w:val="0EACD5B9"/>
    <w:rsid w:val="13EBFE23"/>
    <w:rsid w:val="160D062E"/>
    <w:rsid w:val="1BC155E2"/>
    <w:rsid w:val="1DD92EDD"/>
    <w:rsid w:val="213CBF0C"/>
    <w:rsid w:val="2196402C"/>
    <w:rsid w:val="21EC79F4"/>
    <w:rsid w:val="23AE8FDB"/>
    <w:rsid w:val="25D5E126"/>
    <w:rsid w:val="26D8F9FE"/>
    <w:rsid w:val="2823BA89"/>
    <w:rsid w:val="2B526E90"/>
    <w:rsid w:val="2BCF5C3B"/>
    <w:rsid w:val="308CE62E"/>
    <w:rsid w:val="34FEDFA7"/>
    <w:rsid w:val="369F593A"/>
    <w:rsid w:val="374C9155"/>
    <w:rsid w:val="375BD748"/>
    <w:rsid w:val="383814D8"/>
    <w:rsid w:val="38B4911A"/>
    <w:rsid w:val="3B008945"/>
    <w:rsid w:val="3BA2837A"/>
    <w:rsid w:val="3C53924A"/>
    <w:rsid w:val="3F5437B4"/>
    <w:rsid w:val="41641B85"/>
    <w:rsid w:val="4959E5F3"/>
    <w:rsid w:val="4BE621DD"/>
    <w:rsid w:val="4CCE9515"/>
    <w:rsid w:val="50F06A75"/>
    <w:rsid w:val="524D17EB"/>
    <w:rsid w:val="5305EDC2"/>
    <w:rsid w:val="53BD2348"/>
    <w:rsid w:val="546A92CD"/>
    <w:rsid w:val="5898401E"/>
    <w:rsid w:val="5DA99854"/>
    <w:rsid w:val="663B0077"/>
    <w:rsid w:val="70C8D37E"/>
    <w:rsid w:val="7433E11C"/>
    <w:rsid w:val="7871484E"/>
    <w:rsid w:val="79B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6C03D76B-DA03-406D-A78D-61B9D3E7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352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ldefense.com/v3/__https:/cronicaeconomica.com/edenred-730-me-de-ingresos-en-el-1t-2026/__;!!EyGG_rL3!H_731WcfnMnpQSTH6Ktr_dIqoYYdomENLnDnzrt7TCK4p8Mwh9VB_a2eynhwIdpw306Ikk4WsoEGeubRSI1qo28iCVPjXhptbew$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rldefense.com/v3/__https:/www.equiposytalento.com/noticias/2026/05/08/edenred-supera-los-730-millones-de-euros-en-ingresos-trimestrales__;!!EyGG_rL3!H_731WcfnMnpQSTH6Ktr_dIqoYYdomENLnDnzrt7TCK4p8Mwh9VB_a2eynhwIdpw306Ikk4WsoEGeubRSI1qo28iCVPjdSDmQ9o$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quipo.edenred@newlink-group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rhhpress.com/organizaciones/63541-edenred-ingresos-730-millones-primer-trimestre-2026" TargetMode="External"/><Relationship Id="rId10" Type="http://schemas.openxmlformats.org/officeDocument/2006/relationships/hyperlink" Target="mailto:alejandro.delgadosanchez@edenred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rrhhpress.com/organizaciones/63541-edenred-ingresos-730-millones-primer-trimestre-2026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83E9E377-345F-4939-92A3-1C3ED797E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1125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8</cp:revision>
  <dcterms:created xsi:type="dcterms:W3CDTF">2026-05-06T10:34:00Z</dcterms:created>
  <dcterms:modified xsi:type="dcterms:W3CDTF">2026-07-21T06:31:00Z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2026-07-21T06:26:07Z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22941b54-d9bc-4134-bbbb-c6154452daac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