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9D763F1" w14:textId="26030313" w:rsidR="0034131E" w:rsidRPr="00833D4F" w:rsidRDefault="00054F03">
      <w:pPr>
        <w:pBdr>
          <w:top w:val="nil"/>
          <w:left w:val="nil"/>
          <w:bottom w:val="nil"/>
          <w:right w:val="nil"/>
          <w:between w:val="nil"/>
        </w:pBdr>
        <w:tabs>
          <w:tab w:val="left" w:pos="996"/>
          <w:tab w:val="right" w:pos="8504"/>
        </w:tabs>
        <w:spacing w:line="254" w:lineRule="auto"/>
        <w:jc w:val="right"/>
        <w:rPr>
          <w:rFonts w:ascii="Century Gothic" w:eastAsia="Century Gothic" w:hAnsi="Century Gothic" w:cs="Century Gothic"/>
          <w:color w:val="000000"/>
          <w:sz w:val="28"/>
          <w:szCs w:val="28"/>
          <w:lang w:val="es-ES"/>
        </w:rPr>
      </w:pPr>
      <w:r>
        <w:rPr>
          <w:noProof/>
        </w:rPr>
        <w:drawing>
          <wp:anchor distT="0" distB="0" distL="0" distR="0" simplePos="0" relativeHeight="251658240" behindDoc="1" locked="0" layoutInCell="1" hidden="0" allowOverlap="1" wp14:anchorId="0CF9CF7E" wp14:editId="1F513E53">
            <wp:simplePos x="0" y="0"/>
            <wp:positionH relativeFrom="column">
              <wp:posOffset>-19431</wp:posOffset>
            </wp:positionH>
            <wp:positionV relativeFrom="paragraph">
              <wp:posOffset>-343840</wp:posOffset>
            </wp:positionV>
            <wp:extent cx="1345997" cy="833933"/>
            <wp:effectExtent l="0" t="0" r="6985" b="4445"/>
            <wp:wrapNone/>
            <wp:docPr id="82793767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47242" cy="8347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660F9" w:rsidRPr="00833D4F">
        <w:rPr>
          <w:rFonts w:ascii="Century Gothic" w:eastAsia="Century Gothic" w:hAnsi="Century Gothic" w:cs="Century Gothic"/>
          <w:b/>
          <w:color w:val="000000"/>
          <w:sz w:val="28"/>
          <w:szCs w:val="28"/>
          <w:lang w:val="es-ES"/>
        </w:rPr>
        <w:t>Nota de prensa</w:t>
      </w:r>
    </w:p>
    <w:p w14:paraId="2721C22F" w14:textId="57B12890" w:rsidR="0034131E" w:rsidRPr="00833D4F" w:rsidRDefault="00D0547E">
      <w:pPr>
        <w:pBdr>
          <w:top w:val="nil"/>
          <w:left w:val="nil"/>
          <w:bottom w:val="nil"/>
          <w:right w:val="nil"/>
          <w:between w:val="nil"/>
        </w:pBdr>
        <w:spacing w:line="254" w:lineRule="auto"/>
        <w:jc w:val="right"/>
        <w:rPr>
          <w:rFonts w:ascii="Century Gothic" w:eastAsia="Century Gothic" w:hAnsi="Century Gothic" w:cs="Century Gothic"/>
          <w:color w:val="000000"/>
          <w:sz w:val="28"/>
          <w:szCs w:val="28"/>
          <w:lang w:val="es-ES"/>
        </w:rPr>
      </w:pPr>
      <w:r>
        <w:rPr>
          <w:rFonts w:ascii="Century Gothic" w:eastAsia="Century Gothic" w:hAnsi="Century Gothic" w:cs="Century Gothic"/>
          <w:color w:val="000000"/>
          <w:sz w:val="22"/>
          <w:szCs w:val="22"/>
          <w:lang w:val="es-ES"/>
        </w:rPr>
        <w:t>7</w:t>
      </w:r>
      <w:r w:rsidR="00F71D13">
        <w:rPr>
          <w:rFonts w:ascii="Century Gothic" w:eastAsia="Century Gothic" w:hAnsi="Century Gothic" w:cs="Century Gothic"/>
          <w:color w:val="000000"/>
          <w:sz w:val="22"/>
          <w:szCs w:val="22"/>
          <w:lang w:val="es-ES"/>
        </w:rPr>
        <w:t xml:space="preserve"> </w:t>
      </w:r>
      <w:r w:rsidR="00E660F9" w:rsidRPr="00833D4F">
        <w:rPr>
          <w:rFonts w:ascii="Century Gothic" w:eastAsia="Century Gothic" w:hAnsi="Century Gothic" w:cs="Century Gothic"/>
          <w:color w:val="000000"/>
          <w:sz w:val="22"/>
          <w:szCs w:val="22"/>
          <w:lang w:val="es-ES"/>
        </w:rPr>
        <w:t xml:space="preserve">de </w:t>
      </w:r>
      <w:r>
        <w:rPr>
          <w:rFonts w:ascii="Century Gothic" w:eastAsia="Century Gothic" w:hAnsi="Century Gothic" w:cs="Century Gothic"/>
          <w:color w:val="000000"/>
          <w:sz w:val="22"/>
          <w:szCs w:val="22"/>
          <w:lang w:val="es-ES"/>
        </w:rPr>
        <w:t>mayo</w:t>
      </w:r>
      <w:r w:rsidR="00E660F9" w:rsidRPr="00833D4F">
        <w:rPr>
          <w:rFonts w:ascii="Century Gothic" w:eastAsia="Century Gothic" w:hAnsi="Century Gothic" w:cs="Century Gothic"/>
          <w:color w:val="000000"/>
          <w:sz w:val="22"/>
          <w:szCs w:val="22"/>
          <w:lang w:val="es-ES"/>
        </w:rPr>
        <w:t xml:space="preserve"> de 202</w:t>
      </w:r>
      <w:r w:rsidR="00316012">
        <w:rPr>
          <w:rFonts w:ascii="Century Gothic" w:eastAsia="Century Gothic" w:hAnsi="Century Gothic" w:cs="Century Gothic"/>
          <w:color w:val="000000"/>
          <w:sz w:val="22"/>
          <w:szCs w:val="22"/>
          <w:lang w:val="es-ES"/>
        </w:rPr>
        <w:t>6</w:t>
      </w:r>
    </w:p>
    <w:p w14:paraId="5523504D" w14:textId="77777777" w:rsidR="0034131E" w:rsidRPr="00833D4F" w:rsidRDefault="0034131E">
      <w:pPr>
        <w:pBdr>
          <w:top w:val="nil"/>
          <w:left w:val="nil"/>
          <w:bottom w:val="nil"/>
          <w:right w:val="nil"/>
          <w:between w:val="nil"/>
        </w:pBdr>
        <w:spacing w:line="254" w:lineRule="auto"/>
        <w:ind w:left="709" w:hanging="709"/>
        <w:jc w:val="center"/>
        <w:rPr>
          <w:rFonts w:ascii="Century Gothic" w:eastAsia="Century Gothic" w:hAnsi="Century Gothic" w:cs="Century Gothic"/>
          <w:color w:val="162056"/>
          <w:sz w:val="48"/>
          <w:szCs w:val="48"/>
          <w:lang w:val="es-ES"/>
        </w:rPr>
      </w:pPr>
    </w:p>
    <w:p w14:paraId="5EB22A07" w14:textId="5B143868" w:rsidR="00CB5AED" w:rsidRPr="00CB5AED" w:rsidRDefault="00CB5AED" w:rsidP="00B127EA">
      <w:pPr>
        <w:pStyle w:val="BulletLead-in2"/>
        <w:numPr>
          <w:ilvl w:val="0"/>
          <w:numId w:val="0"/>
        </w:numPr>
        <w:jc w:val="center"/>
        <w:rPr>
          <w:rFonts w:cs="Century Gothic"/>
          <w:b/>
          <w:bCs/>
          <w:color w:val="000000" w:themeColor="text1"/>
          <w:sz w:val="32"/>
          <w:szCs w:val="32"/>
          <w:lang w:val="es-ES"/>
        </w:rPr>
      </w:pPr>
      <w:r w:rsidRPr="00CB5AED">
        <w:rPr>
          <w:rFonts w:cs="Century Gothic"/>
          <w:b/>
          <w:bCs/>
          <w:color w:val="000000" w:themeColor="text1"/>
          <w:sz w:val="32"/>
          <w:szCs w:val="32"/>
          <w:lang w:val="es-ES"/>
        </w:rPr>
        <w:t>Resultados Edenred 202</w:t>
      </w:r>
      <w:r w:rsidR="00E240DD">
        <w:rPr>
          <w:rFonts w:cs="Century Gothic"/>
          <w:b/>
          <w:bCs/>
          <w:color w:val="000000" w:themeColor="text1"/>
          <w:sz w:val="32"/>
          <w:szCs w:val="32"/>
          <w:lang w:val="es-ES"/>
        </w:rPr>
        <w:t>6</w:t>
      </w:r>
    </w:p>
    <w:p w14:paraId="6D2565DF" w14:textId="46DABA98" w:rsidR="00CB702A" w:rsidRDefault="00D0547E" w:rsidP="00D0547E">
      <w:pPr>
        <w:pStyle w:val="BulletLead-in2"/>
        <w:numPr>
          <w:ilvl w:val="0"/>
          <w:numId w:val="0"/>
        </w:numPr>
        <w:jc w:val="center"/>
        <w:rPr>
          <w:rFonts w:cs="Century Gothic"/>
          <w:color w:val="000000" w:themeColor="text1"/>
          <w:sz w:val="44"/>
          <w:szCs w:val="44"/>
          <w:lang w:val="es-ES"/>
        </w:rPr>
      </w:pPr>
      <w:r w:rsidRPr="00D0547E">
        <w:rPr>
          <w:rFonts w:cs="Century Gothic"/>
          <w:color w:val="000000" w:themeColor="text1"/>
          <w:sz w:val="44"/>
          <w:szCs w:val="44"/>
          <w:lang w:val="es-ES"/>
        </w:rPr>
        <w:t>Edenred supera los 730 millones de euros en ingresos trimestrales y confirma sus previsiones para 2026</w:t>
      </w:r>
    </w:p>
    <w:p w14:paraId="49E58368" w14:textId="77777777" w:rsidR="00D0547E" w:rsidRPr="009D71F7" w:rsidRDefault="00D0547E" w:rsidP="000B15B7">
      <w:pPr>
        <w:pStyle w:val="BulletLead-in2"/>
        <w:numPr>
          <w:ilvl w:val="0"/>
          <w:numId w:val="0"/>
        </w:numPr>
        <w:jc w:val="both"/>
        <w:rPr>
          <w:b/>
          <w:bCs/>
          <w:lang w:val="es-ES"/>
        </w:rPr>
      </w:pPr>
    </w:p>
    <w:p w14:paraId="47F6C80B" w14:textId="77777777" w:rsidR="00122812" w:rsidRPr="00613398" w:rsidRDefault="00122812" w:rsidP="00122812">
      <w:pPr>
        <w:pStyle w:val="Prrafodelista"/>
        <w:numPr>
          <w:ilvl w:val="0"/>
          <w:numId w:val="24"/>
        </w:numPr>
        <w:jc w:val="both"/>
        <w:rPr>
          <w:rFonts w:ascii="Century Gothic" w:eastAsia="Century Gothic" w:hAnsi="Century Gothic" w:cs="Century Gothic"/>
          <w:b/>
          <w:bCs/>
          <w:color w:val="auto"/>
          <w:lang w:val="es-ES"/>
        </w:rPr>
      </w:pPr>
      <w:r w:rsidRPr="00613398">
        <w:rPr>
          <w:rFonts w:ascii="Century Gothic" w:eastAsia="Century Gothic" w:hAnsi="Century Gothic" w:cs="Century Gothic"/>
          <w:b/>
          <w:bCs/>
          <w:color w:val="auto"/>
          <w:lang w:val="es-ES"/>
        </w:rPr>
        <w:t>Edenred registra un crecimiento sostenido en el primer trimestre y confirma sus objetivos para 2026 y más allá</w:t>
      </w:r>
    </w:p>
    <w:p w14:paraId="6D851E7D" w14:textId="77777777" w:rsidR="00E06DEB" w:rsidRDefault="00E06DEB" w:rsidP="00E06DEB">
      <w:pPr>
        <w:jc w:val="both"/>
        <w:rPr>
          <w:rFonts w:ascii="Century Gothic" w:eastAsia="Century Gothic" w:hAnsi="Century Gothic" w:cs="Century Gothic"/>
          <w:b/>
          <w:bCs/>
          <w:color w:val="auto"/>
          <w:lang w:val="es-ES"/>
        </w:rPr>
      </w:pPr>
    </w:p>
    <w:p w14:paraId="41596808" w14:textId="0CCB0016" w:rsidR="00122812" w:rsidRDefault="00122812" w:rsidP="00122812">
      <w:pPr>
        <w:jc w:val="both"/>
        <w:rPr>
          <w:rFonts w:ascii="Century Gothic" w:eastAsia="Century Gothic" w:hAnsi="Century Gothic" w:cs="Century Gothic"/>
          <w:color w:val="auto"/>
          <w:lang w:val="es-ES"/>
        </w:rPr>
      </w:pPr>
      <w:r w:rsidRPr="00122812">
        <w:rPr>
          <w:rFonts w:ascii="Century Gothic" w:eastAsia="Century Gothic" w:hAnsi="Century Gothic" w:cs="Century Gothic"/>
          <w:color w:val="auto"/>
          <w:lang w:val="es-ES"/>
        </w:rPr>
        <w:t>Edenred mantiene su trayectoria ascendente en el primer trimestre de 2026 y alcanza un crecimiento intrínseco</w:t>
      </w:r>
      <w:r w:rsidR="00457D0C">
        <w:rPr>
          <w:rStyle w:val="Refdenotaalpie"/>
          <w:rFonts w:ascii="Century Gothic" w:eastAsia="Century Gothic" w:hAnsi="Century Gothic" w:cs="Century Gothic"/>
          <w:color w:val="auto"/>
          <w:lang w:val="es-ES"/>
        </w:rPr>
        <w:footnoteReference w:id="1"/>
      </w:r>
      <w:r w:rsidRPr="00122812">
        <w:rPr>
          <w:rFonts w:ascii="Century Gothic" w:eastAsia="Century Gothic" w:hAnsi="Century Gothic" w:cs="Century Gothic"/>
          <w:color w:val="auto"/>
          <w:lang w:val="es-ES"/>
        </w:rPr>
        <w:t xml:space="preserve"> de los ingresos del +8,2 %, en línea con los resultados del ejercicio completo de 2025:</w:t>
      </w:r>
    </w:p>
    <w:p w14:paraId="02EB20A1" w14:textId="77777777" w:rsidR="00613398" w:rsidRPr="00122812" w:rsidRDefault="00613398" w:rsidP="00122812">
      <w:pPr>
        <w:jc w:val="both"/>
        <w:rPr>
          <w:rFonts w:ascii="Century Gothic" w:eastAsia="Century Gothic" w:hAnsi="Century Gothic" w:cs="Century Gothic"/>
          <w:color w:val="auto"/>
          <w:lang w:val="es-ES"/>
        </w:rPr>
      </w:pPr>
    </w:p>
    <w:p w14:paraId="1DF8D619" w14:textId="77777777" w:rsidR="00122812" w:rsidRPr="00122812" w:rsidRDefault="00122812" w:rsidP="00122812">
      <w:pPr>
        <w:numPr>
          <w:ilvl w:val="0"/>
          <w:numId w:val="19"/>
        </w:numPr>
        <w:jc w:val="both"/>
        <w:rPr>
          <w:rFonts w:ascii="Century Gothic" w:eastAsia="Century Gothic" w:hAnsi="Century Gothic" w:cs="Century Gothic"/>
          <w:color w:val="auto"/>
          <w:lang w:val="es-ES"/>
        </w:rPr>
      </w:pPr>
      <w:r w:rsidRPr="00122812">
        <w:rPr>
          <w:rFonts w:ascii="Century Gothic" w:eastAsia="Century Gothic" w:hAnsi="Century Gothic" w:cs="Century Gothic"/>
          <w:color w:val="auto"/>
          <w:lang w:val="es-ES"/>
        </w:rPr>
        <w:t xml:space="preserve">Crecimiento de doble dígito en Movilidad (+10,0 %) </w:t>
      </w:r>
    </w:p>
    <w:p w14:paraId="6E3A32BA" w14:textId="77777777" w:rsidR="00122812" w:rsidRPr="00122812" w:rsidRDefault="00122812" w:rsidP="00122812">
      <w:pPr>
        <w:numPr>
          <w:ilvl w:val="0"/>
          <w:numId w:val="19"/>
        </w:numPr>
        <w:jc w:val="both"/>
        <w:rPr>
          <w:rFonts w:ascii="Century Gothic" w:eastAsia="Century Gothic" w:hAnsi="Century Gothic" w:cs="Century Gothic"/>
          <w:color w:val="auto"/>
          <w:lang w:val="es-ES"/>
        </w:rPr>
      </w:pPr>
      <w:r w:rsidRPr="00122812">
        <w:rPr>
          <w:rFonts w:ascii="Century Gothic" w:eastAsia="Century Gothic" w:hAnsi="Century Gothic" w:cs="Century Gothic"/>
          <w:color w:val="auto"/>
          <w:lang w:val="es-ES"/>
        </w:rPr>
        <w:t xml:space="preserve">Crecimiento intrínseco¹ de un solo dígito alto en </w:t>
      </w:r>
      <w:proofErr w:type="spellStart"/>
      <w:r w:rsidRPr="00122812">
        <w:rPr>
          <w:rFonts w:ascii="Century Gothic" w:eastAsia="Century Gothic" w:hAnsi="Century Gothic" w:cs="Century Gothic"/>
          <w:color w:val="auto"/>
          <w:lang w:val="es-ES"/>
        </w:rPr>
        <w:t>Benefits</w:t>
      </w:r>
      <w:proofErr w:type="spellEnd"/>
      <w:r w:rsidRPr="00122812">
        <w:rPr>
          <w:rFonts w:ascii="Century Gothic" w:eastAsia="Century Gothic" w:hAnsi="Century Gothic" w:cs="Century Gothic"/>
          <w:color w:val="auto"/>
          <w:lang w:val="es-ES"/>
        </w:rPr>
        <w:t xml:space="preserve"> &amp; Engagement (+7,8 %) </w:t>
      </w:r>
    </w:p>
    <w:p w14:paraId="49B90BDF" w14:textId="77777777" w:rsidR="00122812" w:rsidRDefault="00122812" w:rsidP="00122812">
      <w:pPr>
        <w:numPr>
          <w:ilvl w:val="0"/>
          <w:numId w:val="19"/>
        </w:numPr>
        <w:jc w:val="both"/>
        <w:rPr>
          <w:rFonts w:ascii="Century Gothic" w:eastAsia="Century Gothic" w:hAnsi="Century Gothic" w:cs="Century Gothic"/>
          <w:color w:val="auto"/>
          <w:lang w:val="es-ES"/>
        </w:rPr>
      </w:pPr>
      <w:r w:rsidRPr="00122812">
        <w:rPr>
          <w:rFonts w:ascii="Century Gothic" w:eastAsia="Century Gothic" w:hAnsi="Century Gothic" w:cs="Century Gothic"/>
          <w:color w:val="auto"/>
          <w:lang w:val="es-ES"/>
        </w:rPr>
        <w:t xml:space="preserve">Vuelta a un crecimiento sólido en Payment </w:t>
      </w:r>
      <w:proofErr w:type="spellStart"/>
      <w:r w:rsidRPr="00122812">
        <w:rPr>
          <w:rFonts w:ascii="Century Gothic" w:eastAsia="Century Gothic" w:hAnsi="Century Gothic" w:cs="Century Gothic"/>
          <w:color w:val="auto"/>
          <w:lang w:val="es-ES"/>
        </w:rPr>
        <w:t>Solutions</w:t>
      </w:r>
      <w:proofErr w:type="spellEnd"/>
      <w:r w:rsidRPr="00122812">
        <w:rPr>
          <w:rFonts w:ascii="Century Gothic" w:eastAsia="Century Gothic" w:hAnsi="Century Gothic" w:cs="Century Gothic"/>
          <w:color w:val="auto"/>
          <w:lang w:val="es-ES"/>
        </w:rPr>
        <w:t xml:space="preserve"> &amp; New </w:t>
      </w:r>
      <w:proofErr w:type="spellStart"/>
      <w:r w:rsidRPr="00122812">
        <w:rPr>
          <w:rFonts w:ascii="Century Gothic" w:eastAsia="Century Gothic" w:hAnsi="Century Gothic" w:cs="Century Gothic"/>
          <w:color w:val="auto"/>
          <w:lang w:val="es-ES"/>
        </w:rPr>
        <w:t>Markets</w:t>
      </w:r>
      <w:proofErr w:type="spellEnd"/>
      <w:r w:rsidRPr="00122812">
        <w:rPr>
          <w:rFonts w:ascii="Century Gothic" w:eastAsia="Century Gothic" w:hAnsi="Century Gothic" w:cs="Century Gothic"/>
          <w:color w:val="auto"/>
          <w:lang w:val="es-ES"/>
        </w:rPr>
        <w:t xml:space="preserve"> (+6,2 %) </w:t>
      </w:r>
    </w:p>
    <w:p w14:paraId="275A2A7F" w14:textId="77777777" w:rsidR="00BA1F2A" w:rsidRPr="00122812" w:rsidRDefault="00BA1F2A" w:rsidP="00BA1F2A">
      <w:pPr>
        <w:ind w:left="720"/>
        <w:jc w:val="both"/>
        <w:rPr>
          <w:rFonts w:ascii="Century Gothic" w:eastAsia="Century Gothic" w:hAnsi="Century Gothic" w:cs="Century Gothic"/>
          <w:color w:val="auto"/>
          <w:lang w:val="es-ES"/>
        </w:rPr>
      </w:pPr>
    </w:p>
    <w:p w14:paraId="5B093F0E" w14:textId="77777777" w:rsidR="00122812" w:rsidRPr="00BA1F2A" w:rsidRDefault="00122812" w:rsidP="00122812">
      <w:pPr>
        <w:jc w:val="both"/>
        <w:rPr>
          <w:rFonts w:ascii="Century Gothic" w:eastAsia="Century Gothic" w:hAnsi="Century Gothic" w:cs="Century Gothic"/>
          <w:b/>
          <w:bCs/>
          <w:color w:val="auto"/>
          <w:lang w:val="es-ES"/>
        </w:rPr>
      </w:pPr>
      <w:r w:rsidRPr="00BA1F2A">
        <w:rPr>
          <w:rFonts w:ascii="Century Gothic" w:eastAsia="Century Gothic" w:hAnsi="Century Gothic" w:cs="Century Gothic"/>
          <w:b/>
          <w:bCs/>
          <w:color w:val="auto"/>
          <w:lang w:val="es-ES"/>
        </w:rPr>
        <w:t>Con el impacto de un nuevo entorno regulatorio (Italia y Brasil), Edenred obtiene:</w:t>
      </w:r>
    </w:p>
    <w:p w14:paraId="7B453EA8" w14:textId="77777777" w:rsidR="00BA1F2A" w:rsidRPr="00122812" w:rsidRDefault="00BA1F2A" w:rsidP="00122812">
      <w:pPr>
        <w:jc w:val="both"/>
        <w:rPr>
          <w:rFonts w:ascii="Century Gothic" w:eastAsia="Century Gothic" w:hAnsi="Century Gothic" w:cs="Century Gothic"/>
          <w:color w:val="auto"/>
          <w:lang w:val="es-ES"/>
        </w:rPr>
      </w:pPr>
    </w:p>
    <w:p w14:paraId="0CC4DC26" w14:textId="1E07D72D" w:rsidR="00122812" w:rsidRDefault="00122812" w:rsidP="00122812">
      <w:pPr>
        <w:numPr>
          <w:ilvl w:val="0"/>
          <w:numId w:val="20"/>
        </w:numPr>
        <w:jc w:val="both"/>
        <w:rPr>
          <w:rFonts w:ascii="Century Gothic" w:eastAsia="Century Gothic" w:hAnsi="Century Gothic" w:cs="Century Gothic"/>
          <w:color w:val="auto"/>
          <w:lang w:val="es-ES"/>
        </w:rPr>
      </w:pPr>
      <w:r w:rsidRPr="00122812">
        <w:rPr>
          <w:rFonts w:ascii="Century Gothic" w:eastAsia="Century Gothic" w:hAnsi="Century Gothic" w:cs="Century Gothic"/>
          <w:color w:val="auto"/>
          <w:lang w:val="es-ES"/>
        </w:rPr>
        <w:t>Ingresos operativos de 673 millones de euros, un +3,1 % comparables (</w:t>
      </w:r>
      <w:proofErr w:type="spellStart"/>
      <w:r w:rsidRPr="00122812">
        <w:rPr>
          <w:rFonts w:ascii="Century Gothic" w:eastAsia="Century Gothic" w:hAnsi="Century Gothic" w:cs="Century Gothic"/>
          <w:color w:val="auto"/>
          <w:lang w:val="es-ES"/>
        </w:rPr>
        <w:t>like-for-like</w:t>
      </w:r>
      <w:proofErr w:type="spellEnd"/>
      <w:r w:rsidRPr="00122812">
        <w:rPr>
          <w:rFonts w:ascii="Century Gothic" w:eastAsia="Century Gothic" w:hAnsi="Century Gothic" w:cs="Century Gothic"/>
          <w:color w:val="auto"/>
          <w:lang w:val="es-ES"/>
        </w:rPr>
        <w:t>) y un +0,9 % reportado frente al primer trimestre de 2025</w:t>
      </w:r>
      <w:r w:rsidR="00BA1F2A">
        <w:rPr>
          <w:rFonts w:ascii="Century Gothic" w:eastAsia="Century Gothic" w:hAnsi="Century Gothic" w:cs="Century Gothic"/>
          <w:color w:val="auto"/>
          <w:lang w:val="es-ES"/>
        </w:rPr>
        <w:t>.</w:t>
      </w:r>
    </w:p>
    <w:p w14:paraId="1B5B2706" w14:textId="77777777" w:rsidR="00BA1F2A" w:rsidRPr="00122812" w:rsidRDefault="00BA1F2A" w:rsidP="00BA1F2A">
      <w:pPr>
        <w:ind w:left="720"/>
        <w:jc w:val="both"/>
        <w:rPr>
          <w:rFonts w:ascii="Century Gothic" w:eastAsia="Century Gothic" w:hAnsi="Century Gothic" w:cs="Century Gothic"/>
          <w:color w:val="auto"/>
          <w:lang w:val="es-ES"/>
        </w:rPr>
      </w:pPr>
    </w:p>
    <w:p w14:paraId="5684AC09" w14:textId="0848D2C0" w:rsidR="00BA1F2A" w:rsidRDefault="00122812" w:rsidP="00BA1F2A">
      <w:pPr>
        <w:numPr>
          <w:ilvl w:val="0"/>
          <w:numId w:val="20"/>
        </w:numPr>
        <w:jc w:val="both"/>
        <w:rPr>
          <w:rFonts w:ascii="Century Gothic" w:eastAsia="Century Gothic" w:hAnsi="Century Gothic" w:cs="Century Gothic"/>
          <w:color w:val="auto"/>
          <w:lang w:val="es-ES"/>
        </w:rPr>
      </w:pPr>
      <w:r w:rsidRPr="00122812">
        <w:rPr>
          <w:rFonts w:ascii="Century Gothic" w:eastAsia="Century Gothic" w:hAnsi="Century Gothic" w:cs="Century Gothic"/>
          <w:color w:val="auto"/>
          <w:lang w:val="es-ES"/>
        </w:rPr>
        <w:t>Otros ingresos de 57 millones de euros, un +3,2 % comparables (</w:t>
      </w:r>
      <w:proofErr w:type="spellStart"/>
      <w:r w:rsidRPr="00122812">
        <w:rPr>
          <w:rFonts w:ascii="Century Gothic" w:eastAsia="Century Gothic" w:hAnsi="Century Gothic" w:cs="Century Gothic"/>
          <w:color w:val="auto"/>
          <w:lang w:val="es-ES"/>
        </w:rPr>
        <w:t>like-for-like</w:t>
      </w:r>
      <w:proofErr w:type="spellEnd"/>
      <w:r w:rsidRPr="00122812">
        <w:rPr>
          <w:rFonts w:ascii="Century Gothic" w:eastAsia="Century Gothic" w:hAnsi="Century Gothic" w:cs="Century Gothic"/>
          <w:color w:val="auto"/>
          <w:lang w:val="es-ES"/>
        </w:rPr>
        <w:t>) y estables en términos reportados frente al primer trimestre de 2025</w:t>
      </w:r>
      <w:r w:rsidR="00BA1F2A">
        <w:rPr>
          <w:rFonts w:ascii="Century Gothic" w:eastAsia="Century Gothic" w:hAnsi="Century Gothic" w:cs="Century Gothic"/>
          <w:color w:val="auto"/>
          <w:lang w:val="es-ES"/>
        </w:rPr>
        <w:t>.</w:t>
      </w:r>
    </w:p>
    <w:p w14:paraId="15923FE1" w14:textId="77777777" w:rsidR="00BA1F2A" w:rsidRPr="00BA1F2A" w:rsidRDefault="00BA1F2A" w:rsidP="00BA1F2A">
      <w:pPr>
        <w:jc w:val="both"/>
        <w:rPr>
          <w:rFonts w:ascii="Century Gothic" w:eastAsia="Century Gothic" w:hAnsi="Century Gothic" w:cs="Century Gothic"/>
          <w:color w:val="auto"/>
          <w:lang w:val="es-ES"/>
        </w:rPr>
      </w:pPr>
    </w:p>
    <w:p w14:paraId="2BF7D1E2" w14:textId="4C10BE9E" w:rsidR="00122812" w:rsidRDefault="00122812" w:rsidP="00122812">
      <w:pPr>
        <w:numPr>
          <w:ilvl w:val="0"/>
          <w:numId w:val="20"/>
        </w:numPr>
        <w:jc w:val="both"/>
        <w:rPr>
          <w:rFonts w:ascii="Century Gothic" w:eastAsia="Century Gothic" w:hAnsi="Century Gothic" w:cs="Century Gothic"/>
          <w:color w:val="auto"/>
          <w:lang w:val="es-ES"/>
        </w:rPr>
      </w:pPr>
      <w:r w:rsidRPr="00122812">
        <w:rPr>
          <w:rFonts w:ascii="Century Gothic" w:eastAsia="Century Gothic" w:hAnsi="Century Gothic" w:cs="Century Gothic"/>
          <w:color w:val="auto"/>
          <w:lang w:val="es-ES"/>
        </w:rPr>
        <w:t>Ingresos totales de 730 millones de euros, un +3,1 % comparables (</w:t>
      </w:r>
      <w:proofErr w:type="spellStart"/>
      <w:r w:rsidRPr="00122812">
        <w:rPr>
          <w:rFonts w:ascii="Century Gothic" w:eastAsia="Century Gothic" w:hAnsi="Century Gothic" w:cs="Century Gothic"/>
          <w:color w:val="auto"/>
          <w:lang w:val="es-ES"/>
        </w:rPr>
        <w:t>like-for-like</w:t>
      </w:r>
      <w:proofErr w:type="spellEnd"/>
      <w:r w:rsidRPr="00122812">
        <w:rPr>
          <w:rFonts w:ascii="Century Gothic" w:eastAsia="Century Gothic" w:hAnsi="Century Gothic" w:cs="Century Gothic"/>
          <w:color w:val="auto"/>
          <w:lang w:val="es-ES"/>
        </w:rPr>
        <w:t>) y un +0,8 % reportado frente al primer trimestre de 2025</w:t>
      </w:r>
      <w:r w:rsidR="00BA1F2A">
        <w:rPr>
          <w:rFonts w:ascii="Century Gothic" w:eastAsia="Century Gothic" w:hAnsi="Century Gothic" w:cs="Century Gothic"/>
          <w:color w:val="auto"/>
          <w:lang w:val="es-ES"/>
        </w:rPr>
        <w:t>.</w:t>
      </w:r>
    </w:p>
    <w:p w14:paraId="3968DF00" w14:textId="77777777" w:rsidR="00BA1F2A" w:rsidRPr="00122812" w:rsidRDefault="00BA1F2A" w:rsidP="00BA1F2A">
      <w:pPr>
        <w:ind w:left="720"/>
        <w:jc w:val="both"/>
        <w:rPr>
          <w:rFonts w:ascii="Century Gothic" w:eastAsia="Century Gothic" w:hAnsi="Century Gothic" w:cs="Century Gothic"/>
          <w:color w:val="auto"/>
          <w:lang w:val="es-ES"/>
        </w:rPr>
      </w:pPr>
    </w:p>
    <w:p w14:paraId="5D3B920F" w14:textId="07D93D0F" w:rsidR="00122812" w:rsidRDefault="00122812" w:rsidP="00122812">
      <w:pPr>
        <w:jc w:val="both"/>
        <w:rPr>
          <w:rFonts w:ascii="Century Gothic" w:eastAsia="Century Gothic" w:hAnsi="Century Gothic" w:cs="Century Gothic"/>
          <w:b/>
          <w:bCs/>
          <w:color w:val="auto"/>
          <w:lang w:val="es-ES"/>
        </w:rPr>
      </w:pPr>
      <w:r w:rsidRPr="00BA1F2A">
        <w:rPr>
          <w:rFonts w:ascii="Century Gothic" w:eastAsia="Century Gothic" w:hAnsi="Century Gothic" w:cs="Century Gothic"/>
          <w:b/>
          <w:bCs/>
          <w:color w:val="auto"/>
          <w:lang w:val="es-ES"/>
        </w:rPr>
        <w:t xml:space="preserve">Edenred obtiene la calificación “A” de CDP (frente a la “B” </w:t>
      </w:r>
      <w:r w:rsidR="00A144BA">
        <w:rPr>
          <w:rFonts w:ascii="Century Gothic" w:eastAsia="Century Gothic" w:hAnsi="Century Gothic" w:cs="Century Gothic"/>
          <w:b/>
          <w:bCs/>
          <w:color w:val="auto"/>
          <w:lang w:val="es-ES"/>
        </w:rPr>
        <w:t>obtenida anteriormente</w:t>
      </w:r>
      <w:r w:rsidRPr="00BA1F2A">
        <w:rPr>
          <w:rFonts w:ascii="Century Gothic" w:eastAsia="Century Gothic" w:hAnsi="Century Gothic" w:cs="Century Gothic"/>
          <w:b/>
          <w:bCs/>
          <w:color w:val="auto"/>
          <w:lang w:val="es-ES"/>
        </w:rPr>
        <w:t>), reforzando su liderazgo ESG dentro del sector:</w:t>
      </w:r>
    </w:p>
    <w:p w14:paraId="14C0068B" w14:textId="77777777" w:rsidR="00BA1F2A" w:rsidRPr="00BA1F2A" w:rsidRDefault="00BA1F2A" w:rsidP="00122812">
      <w:pPr>
        <w:jc w:val="both"/>
        <w:rPr>
          <w:rFonts w:ascii="Century Gothic" w:eastAsia="Century Gothic" w:hAnsi="Century Gothic" w:cs="Century Gothic"/>
          <w:b/>
          <w:bCs/>
          <w:color w:val="auto"/>
          <w:lang w:val="es-ES"/>
        </w:rPr>
      </w:pPr>
    </w:p>
    <w:p w14:paraId="0542F27A" w14:textId="37DCB570" w:rsidR="00A144BA" w:rsidRPr="00A144BA" w:rsidRDefault="00122812" w:rsidP="00A144BA">
      <w:pPr>
        <w:numPr>
          <w:ilvl w:val="0"/>
          <w:numId w:val="21"/>
        </w:numPr>
        <w:jc w:val="both"/>
        <w:rPr>
          <w:rFonts w:ascii="Century Gothic" w:eastAsia="Century Gothic" w:hAnsi="Century Gothic" w:cs="Century Gothic"/>
          <w:color w:val="auto"/>
          <w:lang w:val="es-ES"/>
        </w:rPr>
      </w:pPr>
      <w:r w:rsidRPr="00122812">
        <w:rPr>
          <w:rFonts w:ascii="Century Gothic" w:eastAsia="Century Gothic" w:hAnsi="Century Gothic" w:cs="Century Gothic"/>
          <w:color w:val="auto"/>
          <w:lang w:val="es-ES"/>
        </w:rPr>
        <w:t xml:space="preserve">Reconocimiento al sólido compromiso de Edenred con la acción climática </w:t>
      </w:r>
    </w:p>
    <w:p w14:paraId="49EDBEA6" w14:textId="77777777" w:rsidR="00122812" w:rsidRDefault="00122812" w:rsidP="00122812">
      <w:pPr>
        <w:numPr>
          <w:ilvl w:val="0"/>
          <w:numId w:val="21"/>
        </w:numPr>
        <w:jc w:val="both"/>
        <w:rPr>
          <w:rFonts w:ascii="Century Gothic" w:eastAsia="Century Gothic" w:hAnsi="Century Gothic" w:cs="Century Gothic"/>
          <w:color w:val="auto"/>
          <w:lang w:val="es-ES"/>
        </w:rPr>
      </w:pPr>
      <w:r w:rsidRPr="00122812">
        <w:rPr>
          <w:rFonts w:ascii="Century Gothic" w:eastAsia="Century Gothic" w:hAnsi="Century Gothic" w:cs="Century Gothic"/>
          <w:color w:val="auto"/>
          <w:lang w:val="es-ES"/>
        </w:rPr>
        <w:t xml:space="preserve">Refuerzo adicional de su ventaja competitiva </w:t>
      </w:r>
    </w:p>
    <w:p w14:paraId="365222B4" w14:textId="77777777" w:rsidR="00A144BA" w:rsidRPr="00122812" w:rsidRDefault="00A144BA" w:rsidP="00A144BA">
      <w:pPr>
        <w:ind w:left="720"/>
        <w:jc w:val="both"/>
        <w:rPr>
          <w:rFonts w:ascii="Century Gothic" w:eastAsia="Century Gothic" w:hAnsi="Century Gothic" w:cs="Century Gothic"/>
          <w:color w:val="auto"/>
          <w:lang w:val="es-ES"/>
        </w:rPr>
      </w:pPr>
    </w:p>
    <w:p w14:paraId="40B7C936" w14:textId="77777777" w:rsidR="00122812" w:rsidRDefault="00122812" w:rsidP="00122812">
      <w:pPr>
        <w:jc w:val="both"/>
        <w:rPr>
          <w:rFonts w:ascii="Century Gothic" w:eastAsia="Century Gothic" w:hAnsi="Century Gothic" w:cs="Century Gothic"/>
          <w:b/>
          <w:bCs/>
          <w:color w:val="auto"/>
          <w:lang w:val="es-ES"/>
        </w:rPr>
      </w:pPr>
      <w:r w:rsidRPr="00A144BA">
        <w:rPr>
          <w:rFonts w:ascii="Century Gothic" w:eastAsia="Century Gothic" w:hAnsi="Century Gothic" w:cs="Century Gothic"/>
          <w:b/>
          <w:bCs/>
          <w:color w:val="auto"/>
          <w:lang w:val="es-ES"/>
        </w:rPr>
        <w:t>Edenred ejecuta con disciplina su plan estratégico Amplify25-28. Algunos ejemplos destacados:</w:t>
      </w:r>
    </w:p>
    <w:p w14:paraId="21D2E004" w14:textId="77777777" w:rsidR="00A144BA" w:rsidRPr="00A144BA" w:rsidRDefault="00A144BA" w:rsidP="00122812">
      <w:pPr>
        <w:jc w:val="both"/>
        <w:rPr>
          <w:rFonts w:ascii="Century Gothic" w:eastAsia="Century Gothic" w:hAnsi="Century Gothic" w:cs="Century Gothic"/>
          <w:b/>
          <w:bCs/>
          <w:color w:val="auto"/>
          <w:lang w:val="es-ES"/>
        </w:rPr>
      </w:pPr>
    </w:p>
    <w:p w14:paraId="65AEED76" w14:textId="77777777" w:rsidR="00122812" w:rsidRPr="00122812" w:rsidRDefault="00122812" w:rsidP="00122812">
      <w:pPr>
        <w:numPr>
          <w:ilvl w:val="0"/>
          <w:numId w:val="22"/>
        </w:numPr>
        <w:jc w:val="both"/>
        <w:rPr>
          <w:rFonts w:ascii="Century Gothic" w:eastAsia="Century Gothic" w:hAnsi="Century Gothic" w:cs="Century Gothic"/>
          <w:color w:val="auto"/>
          <w:lang w:val="es-ES"/>
        </w:rPr>
      </w:pPr>
      <w:proofErr w:type="spellStart"/>
      <w:r w:rsidRPr="00A144BA">
        <w:rPr>
          <w:rFonts w:ascii="Century Gothic" w:eastAsia="Century Gothic" w:hAnsi="Century Gothic" w:cs="Century Gothic"/>
          <w:b/>
          <w:bCs/>
          <w:color w:val="auto"/>
          <w:lang w:val="es-ES"/>
        </w:rPr>
        <w:t>Attract</w:t>
      </w:r>
      <w:proofErr w:type="spellEnd"/>
      <w:r w:rsidRPr="00122812">
        <w:rPr>
          <w:rFonts w:ascii="Century Gothic" w:eastAsia="Century Gothic" w:hAnsi="Century Gothic" w:cs="Century Gothic"/>
          <w:color w:val="auto"/>
          <w:lang w:val="es-ES"/>
        </w:rPr>
        <w:t xml:space="preserve">: ofrecer la propuesta más atractiva en recarga de vehículos eléctricos y ampliar el alcance de Edenred en Movilidad mediante una nueva alianza con </w:t>
      </w:r>
      <w:proofErr w:type="spellStart"/>
      <w:r w:rsidRPr="00122812">
        <w:rPr>
          <w:rFonts w:ascii="Century Gothic" w:eastAsia="Century Gothic" w:hAnsi="Century Gothic" w:cs="Century Gothic"/>
          <w:color w:val="auto"/>
          <w:lang w:val="es-ES"/>
        </w:rPr>
        <w:t>EnBW</w:t>
      </w:r>
      <w:proofErr w:type="spellEnd"/>
      <w:r w:rsidRPr="00122812">
        <w:rPr>
          <w:rFonts w:ascii="Century Gothic" w:eastAsia="Century Gothic" w:hAnsi="Century Gothic" w:cs="Century Gothic"/>
          <w:color w:val="auto"/>
          <w:lang w:val="es-ES"/>
        </w:rPr>
        <w:t xml:space="preserve"> en Alemania </w:t>
      </w:r>
    </w:p>
    <w:p w14:paraId="02D8C7B3" w14:textId="77777777" w:rsidR="00122812" w:rsidRPr="00122812" w:rsidRDefault="00122812" w:rsidP="00122812">
      <w:pPr>
        <w:numPr>
          <w:ilvl w:val="0"/>
          <w:numId w:val="22"/>
        </w:numPr>
        <w:jc w:val="both"/>
        <w:rPr>
          <w:rFonts w:ascii="Century Gothic" w:eastAsia="Century Gothic" w:hAnsi="Century Gothic" w:cs="Century Gothic"/>
          <w:color w:val="auto"/>
          <w:lang w:val="es-ES"/>
        </w:rPr>
      </w:pPr>
      <w:proofErr w:type="spellStart"/>
      <w:r w:rsidRPr="00A144BA">
        <w:rPr>
          <w:rFonts w:ascii="Century Gothic" w:eastAsia="Century Gothic" w:hAnsi="Century Gothic" w:cs="Century Gothic"/>
          <w:b/>
          <w:bCs/>
          <w:color w:val="auto"/>
          <w:lang w:val="es-ES"/>
        </w:rPr>
        <w:t>Enrich</w:t>
      </w:r>
      <w:proofErr w:type="spellEnd"/>
      <w:r w:rsidRPr="00122812">
        <w:rPr>
          <w:rFonts w:ascii="Century Gothic" w:eastAsia="Century Gothic" w:hAnsi="Century Gothic" w:cs="Century Gothic"/>
          <w:color w:val="auto"/>
          <w:lang w:val="es-ES"/>
        </w:rPr>
        <w:t xml:space="preserve">: potenciar las estrategias de </w:t>
      </w:r>
      <w:proofErr w:type="spellStart"/>
      <w:r w:rsidRPr="00122812">
        <w:rPr>
          <w:rFonts w:ascii="Century Gothic" w:eastAsia="Century Gothic" w:hAnsi="Century Gothic" w:cs="Century Gothic"/>
          <w:color w:val="auto"/>
          <w:lang w:val="es-ES"/>
        </w:rPr>
        <w:t>upselling</w:t>
      </w:r>
      <w:proofErr w:type="spellEnd"/>
      <w:r w:rsidRPr="00122812">
        <w:rPr>
          <w:rFonts w:ascii="Century Gothic" w:eastAsia="Century Gothic" w:hAnsi="Century Gothic" w:cs="Century Gothic"/>
          <w:color w:val="auto"/>
          <w:lang w:val="es-ES"/>
        </w:rPr>
        <w:t xml:space="preserve"> y </w:t>
      </w:r>
      <w:proofErr w:type="spellStart"/>
      <w:r w:rsidRPr="00122812">
        <w:rPr>
          <w:rFonts w:ascii="Century Gothic" w:eastAsia="Century Gothic" w:hAnsi="Century Gothic" w:cs="Century Gothic"/>
          <w:color w:val="auto"/>
          <w:lang w:val="es-ES"/>
        </w:rPr>
        <w:t>cross-selling</w:t>
      </w:r>
      <w:proofErr w:type="spellEnd"/>
      <w:r w:rsidRPr="00122812">
        <w:rPr>
          <w:rFonts w:ascii="Century Gothic" w:eastAsia="Century Gothic" w:hAnsi="Century Gothic" w:cs="Century Gothic"/>
          <w:color w:val="auto"/>
          <w:lang w:val="es-ES"/>
        </w:rPr>
        <w:t xml:space="preserve"> en </w:t>
      </w:r>
      <w:proofErr w:type="spellStart"/>
      <w:r w:rsidRPr="00122812">
        <w:rPr>
          <w:rFonts w:ascii="Century Gothic" w:eastAsia="Century Gothic" w:hAnsi="Century Gothic" w:cs="Century Gothic"/>
          <w:color w:val="auto"/>
          <w:lang w:val="es-ES"/>
        </w:rPr>
        <w:t>Benefits</w:t>
      </w:r>
      <w:proofErr w:type="spellEnd"/>
      <w:r w:rsidRPr="00122812">
        <w:rPr>
          <w:rFonts w:ascii="Century Gothic" w:eastAsia="Century Gothic" w:hAnsi="Century Gothic" w:cs="Century Gothic"/>
          <w:color w:val="auto"/>
          <w:lang w:val="es-ES"/>
        </w:rPr>
        <w:t xml:space="preserve"> &amp; Engagement en Italia </w:t>
      </w:r>
    </w:p>
    <w:p w14:paraId="5171CCDB" w14:textId="77777777" w:rsidR="00122812" w:rsidRDefault="00122812" w:rsidP="00122812">
      <w:pPr>
        <w:numPr>
          <w:ilvl w:val="0"/>
          <w:numId w:val="22"/>
        </w:numPr>
        <w:jc w:val="both"/>
        <w:rPr>
          <w:rFonts w:ascii="Century Gothic" w:eastAsia="Century Gothic" w:hAnsi="Century Gothic" w:cs="Century Gothic"/>
          <w:color w:val="auto"/>
          <w:lang w:val="es-ES"/>
        </w:rPr>
      </w:pPr>
      <w:r w:rsidRPr="00A144BA">
        <w:rPr>
          <w:rFonts w:ascii="Century Gothic" w:eastAsia="Century Gothic" w:hAnsi="Century Gothic" w:cs="Century Gothic"/>
          <w:b/>
          <w:bCs/>
          <w:color w:val="auto"/>
          <w:lang w:val="es-ES"/>
        </w:rPr>
        <w:t>Data &amp; AI:</w:t>
      </w:r>
      <w:r w:rsidRPr="00122812">
        <w:rPr>
          <w:rFonts w:ascii="Century Gothic" w:eastAsia="Century Gothic" w:hAnsi="Century Gothic" w:cs="Century Gothic"/>
          <w:color w:val="auto"/>
          <w:lang w:val="es-ES"/>
        </w:rPr>
        <w:t xml:space="preserve"> aprovechar la inteligencia artificial para mejorar la oferta de mantenimiento en Brasil </w:t>
      </w:r>
    </w:p>
    <w:p w14:paraId="3243D615" w14:textId="77777777" w:rsidR="00A144BA" w:rsidRDefault="00A144BA" w:rsidP="00A144BA">
      <w:pPr>
        <w:ind w:left="720"/>
        <w:jc w:val="both"/>
        <w:rPr>
          <w:rFonts w:ascii="Century Gothic" w:eastAsia="Century Gothic" w:hAnsi="Century Gothic" w:cs="Century Gothic"/>
          <w:color w:val="auto"/>
          <w:lang w:val="es-ES"/>
        </w:rPr>
      </w:pPr>
    </w:p>
    <w:p w14:paraId="525CA5E1" w14:textId="77777777" w:rsidR="00A144BA" w:rsidRDefault="00A144BA" w:rsidP="00122812">
      <w:pPr>
        <w:jc w:val="both"/>
        <w:rPr>
          <w:rFonts w:ascii="Century Gothic" w:eastAsia="Century Gothic" w:hAnsi="Century Gothic" w:cs="Century Gothic"/>
          <w:color w:val="auto"/>
          <w:lang w:val="es-ES"/>
        </w:rPr>
      </w:pPr>
    </w:p>
    <w:p w14:paraId="15CCDB8F" w14:textId="4BCEAA00" w:rsidR="00122812" w:rsidRDefault="00122812" w:rsidP="00122812">
      <w:pPr>
        <w:jc w:val="both"/>
        <w:rPr>
          <w:rFonts w:ascii="Century Gothic" w:eastAsia="Century Gothic" w:hAnsi="Century Gothic" w:cs="Century Gothic"/>
          <w:b/>
          <w:bCs/>
          <w:color w:val="auto"/>
          <w:lang w:val="es-ES"/>
        </w:rPr>
      </w:pPr>
      <w:r w:rsidRPr="00A144BA">
        <w:rPr>
          <w:rFonts w:ascii="Century Gothic" w:eastAsia="Century Gothic" w:hAnsi="Century Gothic" w:cs="Century Gothic"/>
          <w:b/>
          <w:bCs/>
          <w:color w:val="auto"/>
          <w:lang w:val="es-ES"/>
        </w:rPr>
        <w:t>Edenred confirma sus objetivos para 2026 y los próximos años:</w:t>
      </w:r>
    </w:p>
    <w:p w14:paraId="10DD1109" w14:textId="77777777" w:rsidR="00A144BA" w:rsidRPr="00A144BA" w:rsidRDefault="00A144BA" w:rsidP="00122812">
      <w:pPr>
        <w:jc w:val="both"/>
        <w:rPr>
          <w:rFonts w:ascii="Century Gothic" w:eastAsia="Century Gothic" w:hAnsi="Century Gothic" w:cs="Century Gothic"/>
          <w:b/>
          <w:bCs/>
          <w:color w:val="auto"/>
          <w:lang w:val="es-ES"/>
        </w:rPr>
      </w:pPr>
    </w:p>
    <w:p w14:paraId="6F0FB9F0" w14:textId="77777777" w:rsidR="00122812" w:rsidRDefault="00122812" w:rsidP="00122812">
      <w:pPr>
        <w:numPr>
          <w:ilvl w:val="0"/>
          <w:numId w:val="23"/>
        </w:numPr>
        <w:jc w:val="both"/>
        <w:rPr>
          <w:rFonts w:ascii="Century Gothic" w:eastAsia="Century Gothic" w:hAnsi="Century Gothic" w:cs="Century Gothic"/>
          <w:color w:val="auto"/>
          <w:lang w:val="es-ES"/>
        </w:rPr>
      </w:pPr>
      <w:r w:rsidRPr="00122812">
        <w:rPr>
          <w:rFonts w:ascii="Century Gothic" w:eastAsia="Century Gothic" w:hAnsi="Century Gothic" w:cs="Century Gothic"/>
          <w:color w:val="auto"/>
          <w:lang w:val="es-ES"/>
        </w:rPr>
        <w:t>Una caída del EBITDA de entre el 8 % y el 12 % comparables (</w:t>
      </w:r>
      <w:proofErr w:type="spellStart"/>
      <w:r w:rsidRPr="00122812">
        <w:rPr>
          <w:rFonts w:ascii="Century Gothic" w:eastAsia="Century Gothic" w:hAnsi="Century Gothic" w:cs="Century Gothic"/>
          <w:color w:val="auto"/>
          <w:lang w:val="es-ES"/>
        </w:rPr>
        <w:t>like-for-like</w:t>
      </w:r>
      <w:proofErr w:type="spellEnd"/>
      <w:r w:rsidRPr="00122812">
        <w:rPr>
          <w:rFonts w:ascii="Century Gothic" w:eastAsia="Century Gothic" w:hAnsi="Century Gothic" w:cs="Century Gothic"/>
          <w:color w:val="auto"/>
          <w:lang w:val="es-ES"/>
        </w:rPr>
        <w:t xml:space="preserve">) en 2026, lo que corresponde a un crecimiento intrínseco del EBITDA de entre el 8 % y el 12 %, nivel previsto también para 2027 y 2028 </w:t>
      </w:r>
    </w:p>
    <w:p w14:paraId="2733C5AC" w14:textId="77777777" w:rsidR="00A144BA" w:rsidRPr="00122812" w:rsidRDefault="00A144BA" w:rsidP="00A144BA">
      <w:pPr>
        <w:ind w:left="720"/>
        <w:jc w:val="both"/>
        <w:rPr>
          <w:rFonts w:ascii="Century Gothic" w:eastAsia="Century Gothic" w:hAnsi="Century Gothic" w:cs="Century Gothic"/>
          <w:color w:val="auto"/>
          <w:lang w:val="es-ES"/>
        </w:rPr>
      </w:pPr>
    </w:p>
    <w:p w14:paraId="495D26D8" w14:textId="488B292F" w:rsidR="00122812" w:rsidRPr="00122812" w:rsidRDefault="00122812" w:rsidP="00122812">
      <w:pPr>
        <w:numPr>
          <w:ilvl w:val="0"/>
          <w:numId w:val="23"/>
        </w:numPr>
        <w:jc w:val="both"/>
        <w:rPr>
          <w:rFonts w:ascii="Century Gothic" w:eastAsia="Century Gothic" w:hAnsi="Century Gothic" w:cs="Century Gothic"/>
          <w:color w:val="auto"/>
          <w:lang w:val="es-ES"/>
        </w:rPr>
      </w:pPr>
      <w:r w:rsidRPr="00122812">
        <w:rPr>
          <w:rFonts w:ascii="Century Gothic" w:eastAsia="Century Gothic" w:hAnsi="Century Gothic" w:cs="Century Gothic"/>
          <w:color w:val="auto"/>
          <w:lang w:val="es-ES"/>
        </w:rPr>
        <w:t>Una tasa de conversión de flujo de caja libre/EBITDA ≥ 35 %, equivalente a una tasa de conversión intrínseca ≥ 65 %</w:t>
      </w:r>
      <w:r w:rsidR="008528A6">
        <w:rPr>
          <w:rStyle w:val="Refdenotaalpie"/>
          <w:rFonts w:ascii="Century Gothic" w:eastAsia="Century Gothic" w:hAnsi="Century Gothic" w:cs="Century Gothic"/>
          <w:color w:val="auto"/>
          <w:lang w:val="es-ES"/>
        </w:rPr>
        <w:footnoteReference w:id="2"/>
      </w:r>
      <w:r w:rsidR="008528A6">
        <w:rPr>
          <w:rFonts w:ascii="Century Gothic" w:eastAsia="Century Gothic" w:hAnsi="Century Gothic" w:cs="Century Gothic"/>
          <w:color w:val="auto"/>
          <w:lang w:val="es-ES"/>
        </w:rPr>
        <w:t xml:space="preserve">, </w:t>
      </w:r>
      <w:r w:rsidRPr="00122812">
        <w:rPr>
          <w:rFonts w:ascii="Century Gothic" w:eastAsia="Century Gothic" w:hAnsi="Century Gothic" w:cs="Century Gothic"/>
          <w:color w:val="auto"/>
          <w:lang w:val="es-ES"/>
        </w:rPr>
        <w:t>nivel previsto igualmente para 2027 y 2028</w:t>
      </w:r>
    </w:p>
    <w:p w14:paraId="7DABA0E8" w14:textId="5FA0E49E" w:rsidR="005F1892" w:rsidRPr="005F1892" w:rsidRDefault="005F1892" w:rsidP="005F1892">
      <w:pPr>
        <w:jc w:val="both"/>
        <w:rPr>
          <w:rFonts w:ascii="Century Gothic" w:eastAsia="Century Gothic" w:hAnsi="Century Gothic" w:cs="Century Gothic"/>
          <w:color w:val="auto"/>
          <w:lang w:val="es-ES"/>
        </w:rPr>
      </w:pPr>
    </w:p>
    <w:p w14:paraId="4A327629" w14:textId="61E1E8BD" w:rsidR="00996808" w:rsidRPr="00996808" w:rsidRDefault="00996808" w:rsidP="00996808">
      <w:pPr>
        <w:jc w:val="both"/>
        <w:rPr>
          <w:rFonts w:ascii="Century Gothic" w:eastAsia="Century Gothic" w:hAnsi="Century Gothic" w:cs="Century Gothic"/>
          <w:i/>
          <w:iCs/>
          <w:color w:val="auto"/>
          <w:lang w:val="es-ES"/>
        </w:rPr>
      </w:pPr>
      <w:r w:rsidRPr="00996808">
        <w:rPr>
          <w:rFonts w:ascii="Century Gothic" w:eastAsia="Century Gothic" w:hAnsi="Century Gothic" w:cs="Century Gothic"/>
          <w:b/>
          <w:bCs/>
          <w:color w:val="auto"/>
          <w:lang w:val="es-ES"/>
        </w:rPr>
        <w:t xml:space="preserve">Bertrand Dumazy, presidente y CEO de Edenred, </w:t>
      </w:r>
      <w:r>
        <w:rPr>
          <w:rFonts w:ascii="Century Gothic" w:eastAsia="Century Gothic" w:hAnsi="Century Gothic" w:cs="Century Gothic"/>
          <w:b/>
          <w:bCs/>
          <w:color w:val="auto"/>
          <w:lang w:val="es-ES"/>
        </w:rPr>
        <w:t xml:space="preserve">ha declarado que </w:t>
      </w:r>
      <w:r w:rsidRPr="00996808">
        <w:rPr>
          <w:rFonts w:ascii="Century Gothic" w:eastAsia="Century Gothic" w:hAnsi="Century Gothic" w:cs="Century Gothic"/>
          <w:i/>
          <w:iCs/>
          <w:color w:val="auto"/>
          <w:lang w:val="es-ES"/>
        </w:rPr>
        <w:t xml:space="preserve">“Edenred ha comenzado 2026 consolidando la posición alcanzada en 2025, demostrando su capacidad para generar un crecimiento intrínseco de un solo dígito alto y mitigar el impacto del nuevo entorno regulatorio para Meal &amp; </w:t>
      </w:r>
      <w:proofErr w:type="spellStart"/>
      <w:r w:rsidRPr="00996808">
        <w:rPr>
          <w:rFonts w:ascii="Century Gothic" w:eastAsia="Century Gothic" w:hAnsi="Century Gothic" w:cs="Century Gothic"/>
          <w:i/>
          <w:iCs/>
          <w:color w:val="auto"/>
          <w:lang w:val="es-ES"/>
        </w:rPr>
        <w:t>Food</w:t>
      </w:r>
      <w:proofErr w:type="spellEnd"/>
      <w:r w:rsidRPr="00996808">
        <w:rPr>
          <w:rFonts w:ascii="Century Gothic" w:eastAsia="Century Gothic" w:hAnsi="Century Gothic" w:cs="Century Gothic"/>
          <w:i/>
          <w:iCs/>
          <w:color w:val="auto"/>
          <w:lang w:val="es-ES"/>
        </w:rPr>
        <w:t xml:space="preserve"> en Brasil e Italia. </w:t>
      </w:r>
      <w:r w:rsidRPr="00996808">
        <w:rPr>
          <w:rFonts w:ascii="Century Gothic" w:eastAsia="Century Gothic" w:hAnsi="Century Gothic" w:cs="Century Gothic"/>
          <w:b/>
          <w:bCs/>
          <w:i/>
          <w:iCs/>
          <w:color w:val="auto"/>
          <w:lang w:val="es-ES"/>
        </w:rPr>
        <w:t>Hemos logrado mantener un rendimiento sólido en todas nuestras líneas de negocio y geografías</w:t>
      </w:r>
      <w:r w:rsidRPr="00996808">
        <w:rPr>
          <w:rFonts w:ascii="Century Gothic" w:eastAsia="Century Gothic" w:hAnsi="Century Gothic" w:cs="Century Gothic"/>
          <w:i/>
          <w:iCs/>
          <w:color w:val="auto"/>
          <w:lang w:val="es-ES"/>
        </w:rPr>
        <w:t xml:space="preserve">, lo que refleja nuestra capacidad para aprovechar tanto nuestra cartera diversificada de soluciones como nuestra presencia </w:t>
      </w:r>
      <w:proofErr w:type="spellStart"/>
      <w:r w:rsidRPr="00996808">
        <w:rPr>
          <w:rFonts w:ascii="Century Gothic" w:eastAsia="Century Gothic" w:hAnsi="Century Gothic" w:cs="Century Gothic"/>
          <w:i/>
          <w:iCs/>
          <w:color w:val="auto"/>
          <w:lang w:val="es-ES"/>
        </w:rPr>
        <w:t>multilocal</w:t>
      </w:r>
      <w:proofErr w:type="spellEnd"/>
      <w:r w:rsidRPr="00996808">
        <w:rPr>
          <w:rFonts w:ascii="Century Gothic" w:eastAsia="Century Gothic" w:hAnsi="Century Gothic" w:cs="Century Gothic"/>
          <w:i/>
          <w:iCs/>
          <w:color w:val="auto"/>
          <w:lang w:val="es-ES"/>
        </w:rPr>
        <w:t>.</w:t>
      </w:r>
    </w:p>
    <w:p w14:paraId="3A980E2A" w14:textId="77777777" w:rsidR="00996808" w:rsidRPr="00996808" w:rsidRDefault="00996808" w:rsidP="00996808">
      <w:pPr>
        <w:jc w:val="both"/>
        <w:rPr>
          <w:rFonts w:ascii="Century Gothic" w:eastAsia="Century Gothic" w:hAnsi="Century Gothic" w:cs="Century Gothic"/>
          <w:i/>
          <w:iCs/>
          <w:color w:val="auto"/>
          <w:lang w:val="es-ES"/>
        </w:rPr>
      </w:pPr>
    </w:p>
    <w:p w14:paraId="0CEBE222" w14:textId="77777777" w:rsidR="00996808" w:rsidRPr="00996808" w:rsidRDefault="00996808" w:rsidP="00996808">
      <w:pPr>
        <w:jc w:val="both"/>
        <w:rPr>
          <w:rFonts w:ascii="Century Gothic" w:eastAsia="Century Gothic" w:hAnsi="Century Gothic" w:cs="Century Gothic"/>
          <w:i/>
          <w:iCs/>
          <w:color w:val="auto"/>
          <w:lang w:val="es-ES"/>
        </w:rPr>
      </w:pPr>
      <w:r w:rsidRPr="00996808">
        <w:rPr>
          <w:rFonts w:ascii="Century Gothic" w:eastAsia="Century Gothic" w:hAnsi="Century Gothic" w:cs="Century Gothic"/>
          <w:i/>
          <w:iCs/>
          <w:color w:val="auto"/>
          <w:lang w:val="es-ES"/>
        </w:rPr>
        <w:t xml:space="preserve">En un contexto incierto, seguimos ejecutando con confianza nuestro plan estratégico, centrando nuestros esfuerzos comerciales y de marketing en captar más clientes y generar un mayor valor por usuario, especialmente gracias a iniciativas de </w:t>
      </w:r>
      <w:proofErr w:type="spellStart"/>
      <w:r w:rsidRPr="00996808">
        <w:rPr>
          <w:rFonts w:ascii="Century Gothic" w:eastAsia="Century Gothic" w:hAnsi="Century Gothic" w:cs="Century Gothic"/>
          <w:i/>
          <w:iCs/>
          <w:color w:val="auto"/>
          <w:lang w:val="es-ES"/>
        </w:rPr>
        <w:t>upselling</w:t>
      </w:r>
      <w:proofErr w:type="spellEnd"/>
      <w:r w:rsidRPr="00996808">
        <w:rPr>
          <w:rFonts w:ascii="Century Gothic" w:eastAsia="Century Gothic" w:hAnsi="Century Gothic" w:cs="Century Gothic"/>
          <w:i/>
          <w:iCs/>
          <w:color w:val="auto"/>
          <w:lang w:val="es-ES"/>
        </w:rPr>
        <w:t xml:space="preserve"> y </w:t>
      </w:r>
      <w:proofErr w:type="spellStart"/>
      <w:r w:rsidRPr="00996808">
        <w:rPr>
          <w:rFonts w:ascii="Century Gothic" w:eastAsia="Century Gothic" w:hAnsi="Century Gothic" w:cs="Century Gothic"/>
          <w:i/>
          <w:iCs/>
          <w:color w:val="auto"/>
          <w:lang w:val="es-ES"/>
        </w:rPr>
        <w:t>cross-selling</w:t>
      </w:r>
      <w:proofErr w:type="spellEnd"/>
      <w:r w:rsidRPr="00996808">
        <w:rPr>
          <w:rFonts w:ascii="Century Gothic" w:eastAsia="Century Gothic" w:hAnsi="Century Gothic" w:cs="Century Gothic"/>
          <w:i/>
          <w:iCs/>
          <w:color w:val="auto"/>
          <w:lang w:val="es-ES"/>
        </w:rPr>
        <w:t xml:space="preserve">. </w:t>
      </w:r>
      <w:r w:rsidRPr="00A324B6">
        <w:rPr>
          <w:rFonts w:ascii="Century Gothic" w:eastAsia="Century Gothic" w:hAnsi="Century Gothic" w:cs="Century Gothic"/>
          <w:b/>
          <w:bCs/>
          <w:i/>
          <w:iCs/>
          <w:color w:val="auto"/>
          <w:lang w:val="es-ES"/>
        </w:rPr>
        <w:t>Las inversiones en Data e Inteligencia Artificial están reforzando nuestra propuesta de valor</w:t>
      </w:r>
      <w:r w:rsidRPr="00996808">
        <w:rPr>
          <w:rFonts w:ascii="Century Gothic" w:eastAsia="Century Gothic" w:hAnsi="Century Gothic" w:cs="Century Gothic"/>
          <w:i/>
          <w:iCs/>
          <w:color w:val="auto"/>
          <w:lang w:val="es-ES"/>
        </w:rPr>
        <w:t xml:space="preserve">, </w:t>
      </w:r>
      <w:r w:rsidRPr="00A324B6">
        <w:rPr>
          <w:rFonts w:ascii="Century Gothic" w:eastAsia="Century Gothic" w:hAnsi="Century Gothic" w:cs="Century Gothic"/>
          <w:b/>
          <w:bCs/>
          <w:i/>
          <w:iCs/>
          <w:color w:val="auto"/>
          <w:lang w:val="es-ES"/>
        </w:rPr>
        <w:t>al tiempo que generan nuevas oportunidades</w:t>
      </w:r>
      <w:r w:rsidRPr="00996808">
        <w:rPr>
          <w:rFonts w:ascii="Century Gothic" w:eastAsia="Century Gothic" w:hAnsi="Century Gothic" w:cs="Century Gothic"/>
          <w:i/>
          <w:iCs/>
          <w:color w:val="auto"/>
          <w:lang w:val="es-ES"/>
        </w:rPr>
        <w:t xml:space="preserve"> para incrementar el uso de nuestras soluciones y monetizar la audiencia de nuestra plataforma B2B2C.</w:t>
      </w:r>
    </w:p>
    <w:p w14:paraId="06471D1C" w14:textId="77777777" w:rsidR="00A324B6" w:rsidRDefault="00A324B6" w:rsidP="00996808">
      <w:pPr>
        <w:jc w:val="both"/>
        <w:rPr>
          <w:rFonts w:ascii="Century Gothic" w:eastAsia="Century Gothic" w:hAnsi="Century Gothic" w:cs="Century Gothic"/>
          <w:i/>
          <w:iCs/>
          <w:color w:val="auto"/>
          <w:lang w:val="es-ES"/>
        </w:rPr>
      </w:pPr>
    </w:p>
    <w:p w14:paraId="504EE0A8" w14:textId="3653D8DD" w:rsidR="00996808" w:rsidRPr="00996808" w:rsidRDefault="00996808" w:rsidP="00996808">
      <w:pPr>
        <w:jc w:val="both"/>
        <w:rPr>
          <w:rFonts w:ascii="Century Gothic" w:eastAsia="Century Gothic" w:hAnsi="Century Gothic" w:cs="Century Gothic"/>
          <w:i/>
          <w:iCs/>
          <w:color w:val="auto"/>
          <w:lang w:val="es-ES"/>
        </w:rPr>
      </w:pPr>
      <w:r w:rsidRPr="00996808">
        <w:rPr>
          <w:rFonts w:ascii="Century Gothic" w:eastAsia="Century Gothic" w:hAnsi="Century Gothic" w:cs="Century Gothic"/>
          <w:i/>
          <w:iCs/>
          <w:color w:val="auto"/>
          <w:lang w:val="es-ES"/>
        </w:rPr>
        <w:t xml:space="preserve">Por otro lado, </w:t>
      </w:r>
      <w:r w:rsidRPr="00A324B6">
        <w:rPr>
          <w:rFonts w:ascii="Century Gothic" w:eastAsia="Century Gothic" w:hAnsi="Century Gothic" w:cs="Century Gothic"/>
          <w:b/>
          <w:bCs/>
          <w:i/>
          <w:iCs/>
          <w:color w:val="auto"/>
          <w:lang w:val="es-ES"/>
        </w:rPr>
        <w:t>estamos muy orgullosos de que nuestro compromiso con la acción climática haya sido reconocido con una calificación ‘A’ por parte de CDP</w:t>
      </w:r>
      <w:r w:rsidRPr="00996808">
        <w:rPr>
          <w:rFonts w:ascii="Century Gothic" w:eastAsia="Century Gothic" w:hAnsi="Century Gothic" w:cs="Century Gothic"/>
          <w:i/>
          <w:iCs/>
          <w:color w:val="auto"/>
          <w:lang w:val="es-ES"/>
        </w:rPr>
        <w:t>. Este sólido comienzo de año nos permite reafirmar nuestros objetivos financieros para 2026, teniendo en cuenta que será un año de reajuste antes de retomar nuestra trayectoria de crecimiento sostenible y rentable a partir de 2027.”</w:t>
      </w:r>
    </w:p>
    <w:p w14:paraId="2004D732" w14:textId="77777777" w:rsidR="001B6F44" w:rsidRPr="00996808" w:rsidRDefault="001B6F44" w:rsidP="00D03656">
      <w:pPr>
        <w:jc w:val="both"/>
        <w:rPr>
          <w:i/>
          <w:iCs/>
          <w:lang w:val="es-ES"/>
        </w:rPr>
      </w:pPr>
    </w:p>
    <w:p w14:paraId="51E74DA8" w14:textId="49D88DA3" w:rsidR="0034131E" w:rsidRPr="00833D4F" w:rsidRDefault="00E660F9">
      <w:pPr>
        <w:jc w:val="both"/>
        <w:rPr>
          <w:rFonts w:ascii="Century Gothic" w:eastAsia="Century Gothic" w:hAnsi="Century Gothic" w:cs="Century Gothic"/>
          <w:color w:val="000000"/>
          <w:lang w:val="es-ES"/>
        </w:rPr>
      </w:pPr>
      <w:r w:rsidRPr="00833D4F">
        <w:rPr>
          <w:rFonts w:ascii="Century Gothic" w:eastAsia="Century Gothic" w:hAnsi="Century Gothic" w:cs="Century Gothic"/>
          <w:color w:val="000000"/>
          <w:lang w:val="es-ES"/>
        </w:rPr>
        <w:t>▬▬</w:t>
      </w:r>
    </w:p>
    <w:p w14:paraId="319B1527" w14:textId="77777777" w:rsidR="0034131E" w:rsidRPr="00833D4F" w:rsidRDefault="0034131E">
      <w:pPr>
        <w:jc w:val="both"/>
        <w:rPr>
          <w:rFonts w:ascii="Century Gothic" w:eastAsia="Century Gothic" w:hAnsi="Century Gothic" w:cs="Century Gothic"/>
          <w:lang w:val="es-ES"/>
        </w:rPr>
      </w:pPr>
    </w:p>
    <w:p w14:paraId="25873AF5" w14:textId="77777777" w:rsidR="0034131E" w:rsidRPr="00833D4F" w:rsidRDefault="00E660F9">
      <w:pPr>
        <w:jc w:val="both"/>
        <w:rPr>
          <w:lang w:val="es-ES"/>
        </w:rPr>
      </w:pPr>
      <w:r w:rsidRPr="00833D4F">
        <w:rPr>
          <w:rFonts w:ascii="Century Gothic" w:eastAsia="Century Gothic" w:hAnsi="Century Gothic" w:cs="Century Gothic"/>
          <w:b/>
          <w:color w:val="000000"/>
          <w:sz w:val="18"/>
          <w:szCs w:val="18"/>
          <w:lang w:val="es-ES"/>
        </w:rPr>
        <w:t>Sobre Edenred</w:t>
      </w:r>
    </w:p>
    <w:p w14:paraId="1C97301A" w14:textId="77777777" w:rsidR="009717C8" w:rsidRDefault="009717C8" w:rsidP="009717C8">
      <w:pPr>
        <w:pBdr>
          <w:top w:val="nil"/>
          <w:left w:val="nil"/>
          <w:bottom w:val="nil"/>
          <w:right w:val="nil"/>
          <w:between w:val="nil"/>
        </w:pBdr>
        <w:spacing w:line="254" w:lineRule="auto"/>
        <w:jc w:val="both"/>
        <w:rPr>
          <w:rFonts w:ascii="Century Gothic" w:eastAsia="Century Gothic" w:hAnsi="Century Gothic" w:cs="Century Gothic"/>
          <w:color w:val="000000" w:themeColor="text1"/>
          <w:lang w:val="es-ES"/>
        </w:rPr>
      </w:pPr>
    </w:p>
    <w:p w14:paraId="6F1D1B33" w14:textId="77777777" w:rsidR="009717C8" w:rsidRDefault="009717C8" w:rsidP="009717C8">
      <w:pPr>
        <w:pBdr>
          <w:top w:val="nil"/>
          <w:left w:val="nil"/>
          <w:bottom w:val="nil"/>
          <w:right w:val="nil"/>
          <w:between w:val="nil"/>
        </w:pBdr>
        <w:spacing w:line="254" w:lineRule="auto"/>
        <w:jc w:val="both"/>
        <w:rPr>
          <w:rFonts w:ascii="Century Gothic" w:eastAsia="Century Gothic" w:hAnsi="Century Gothic" w:cs="Century Gothic"/>
          <w:color w:val="000000" w:themeColor="text1"/>
          <w:sz w:val="18"/>
          <w:szCs w:val="18"/>
          <w:lang w:val="es-ES"/>
        </w:rPr>
      </w:pPr>
      <w:r w:rsidRPr="10C8913A">
        <w:rPr>
          <w:rFonts w:ascii="Century Gothic" w:eastAsia="Century Gothic" w:hAnsi="Century Gothic" w:cs="Century Gothic"/>
          <w:b/>
          <w:bCs/>
          <w:color w:val="000000" w:themeColor="text1"/>
          <w:sz w:val="18"/>
          <w:szCs w:val="18"/>
          <w:lang w:val="es-ES"/>
        </w:rPr>
        <w:t>Edenred</w:t>
      </w:r>
      <w:r w:rsidRPr="10C8913A">
        <w:rPr>
          <w:rFonts w:ascii="Century Gothic" w:eastAsia="Century Gothic" w:hAnsi="Century Gothic" w:cs="Century Gothic"/>
          <w:color w:val="000000" w:themeColor="text1"/>
          <w:sz w:val="18"/>
          <w:szCs w:val="18"/>
          <w:lang w:val="es-ES"/>
        </w:rPr>
        <w:t xml:space="preserve"> es líder </w:t>
      </w:r>
      <w:r w:rsidRPr="00770BBA">
        <w:rPr>
          <w:rFonts w:ascii="Century Gothic" w:eastAsia="Century Gothic" w:hAnsi="Century Gothic" w:cs="Century Gothic"/>
          <w:color w:val="000000" w:themeColor="text1"/>
          <w:sz w:val="18"/>
          <w:szCs w:val="18"/>
          <w:lang w:val="es-ES"/>
        </w:rPr>
        <w:t xml:space="preserve">global en </w:t>
      </w:r>
      <w:proofErr w:type="spellStart"/>
      <w:r w:rsidRPr="00770BBA">
        <w:rPr>
          <w:rFonts w:ascii="Century Gothic" w:eastAsia="Century Gothic" w:hAnsi="Century Gothic" w:cs="Century Gothic"/>
          <w:color w:val="000000" w:themeColor="text1"/>
          <w:sz w:val="18"/>
          <w:szCs w:val="18"/>
          <w:lang w:val="es-ES"/>
        </w:rPr>
        <w:t>Benefits</w:t>
      </w:r>
      <w:proofErr w:type="spellEnd"/>
      <w:r w:rsidRPr="00770BBA">
        <w:rPr>
          <w:rFonts w:ascii="Century Gothic" w:eastAsia="Century Gothic" w:hAnsi="Century Gothic" w:cs="Century Gothic"/>
          <w:color w:val="000000" w:themeColor="text1"/>
          <w:sz w:val="18"/>
          <w:szCs w:val="18"/>
          <w:lang w:val="es-ES"/>
        </w:rPr>
        <w:t xml:space="preserve"> &amp; Engagement y Movilidad.</w:t>
      </w:r>
    </w:p>
    <w:p w14:paraId="4AA977DA" w14:textId="77777777" w:rsidR="009717C8" w:rsidRDefault="009717C8" w:rsidP="009717C8">
      <w:pPr>
        <w:pBdr>
          <w:top w:val="nil"/>
          <w:left w:val="nil"/>
          <w:bottom w:val="nil"/>
          <w:right w:val="nil"/>
          <w:between w:val="nil"/>
        </w:pBdr>
        <w:spacing w:line="254" w:lineRule="auto"/>
        <w:jc w:val="both"/>
        <w:rPr>
          <w:rFonts w:ascii="Century Gothic" w:eastAsia="Century Gothic" w:hAnsi="Century Gothic" w:cs="Century Gothic"/>
          <w:color w:val="000000" w:themeColor="text1"/>
          <w:sz w:val="18"/>
          <w:szCs w:val="18"/>
          <w:lang w:val="es-ES"/>
        </w:rPr>
      </w:pPr>
    </w:p>
    <w:p w14:paraId="6267B7A4" w14:textId="77777777" w:rsidR="009717C8" w:rsidRDefault="009717C8" w:rsidP="009717C8">
      <w:pPr>
        <w:pBdr>
          <w:top w:val="nil"/>
          <w:left w:val="nil"/>
          <w:bottom w:val="nil"/>
          <w:right w:val="nil"/>
          <w:between w:val="nil"/>
        </w:pBdr>
        <w:spacing w:line="254" w:lineRule="auto"/>
        <w:jc w:val="both"/>
        <w:rPr>
          <w:rFonts w:ascii="Century Gothic" w:eastAsia="Century Gothic" w:hAnsi="Century Gothic" w:cs="Century Gothic"/>
          <w:color w:val="000000" w:themeColor="text1"/>
          <w:sz w:val="18"/>
          <w:szCs w:val="18"/>
          <w:lang w:val="es-ES"/>
        </w:rPr>
      </w:pPr>
      <w:r w:rsidRPr="10C8913A">
        <w:rPr>
          <w:rFonts w:ascii="Century Gothic" w:eastAsia="Century Gothic" w:hAnsi="Century Gothic" w:cs="Century Gothic"/>
          <w:color w:val="000000" w:themeColor="text1"/>
          <w:sz w:val="18"/>
          <w:szCs w:val="18"/>
          <w:lang w:val="es-ES"/>
        </w:rPr>
        <w:t>Con más de 1 millón de empresas cliente en 44 países, la plataforma de Edenred ofrece a más de 60 millones de usuarios acceso a los servicios y productos de más de 2 millones de comercios asociados.</w:t>
      </w:r>
    </w:p>
    <w:p w14:paraId="3FFCF96D" w14:textId="77777777" w:rsidR="009717C8" w:rsidRDefault="009717C8" w:rsidP="009717C8">
      <w:pPr>
        <w:pBdr>
          <w:top w:val="nil"/>
          <w:left w:val="nil"/>
          <w:bottom w:val="nil"/>
          <w:right w:val="nil"/>
          <w:between w:val="nil"/>
        </w:pBdr>
        <w:spacing w:line="254" w:lineRule="auto"/>
        <w:jc w:val="both"/>
        <w:rPr>
          <w:rFonts w:ascii="Century Gothic" w:eastAsia="Century Gothic" w:hAnsi="Century Gothic" w:cs="Century Gothic"/>
          <w:color w:val="000000" w:themeColor="text1"/>
          <w:sz w:val="18"/>
          <w:szCs w:val="18"/>
          <w:lang w:val="es-ES"/>
        </w:rPr>
      </w:pPr>
    </w:p>
    <w:p w14:paraId="66F9A52F" w14:textId="77777777" w:rsidR="009717C8" w:rsidRDefault="009717C8" w:rsidP="009717C8">
      <w:pPr>
        <w:pBdr>
          <w:top w:val="nil"/>
          <w:left w:val="nil"/>
          <w:bottom w:val="nil"/>
          <w:right w:val="nil"/>
          <w:between w:val="nil"/>
        </w:pBdr>
        <w:spacing w:line="254" w:lineRule="auto"/>
        <w:jc w:val="both"/>
        <w:rPr>
          <w:rFonts w:ascii="Century Gothic" w:eastAsia="Century Gothic" w:hAnsi="Century Gothic" w:cs="Century Gothic"/>
          <w:color w:val="000000" w:themeColor="text1"/>
          <w:sz w:val="18"/>
          <w:szCs w:val="18"/>
          <w:lang w:val="es-ES"/>
        </w:rPr>
      </w:pPr>
      <w:r w:rsidRPr="10C8913A">
        <w:rPr>
          <w:rFonts w:ascii="Century Gothic" w:eastAsia="Century Gothic" w:hAnsi="Century Gothic" w:cs="Century Gothic"/>
          <w:color w:val="000000" w:themeColor="text1"/>
          <w:sz w:val="18"/>
          <w:szCs w:val="18"/>
          <w:lang w:val="es-ES"/>
        </w:rPr>
        <w:t xml:space="preserve">Edenred proporciona soluciones digitales dirigidas a profesionales (vales de comida, transporte al trabajo, tarjetas regalo, bienestar, incentivos y ofertas preferentes), a gestores de flotas (soluciones </w:t>
      </w:r>
      <w:proofErr w:type="spellStart"/>
      <w:r w:rsidRPr="10C8913A">
        <w:rPr>
          <w:rFonts w:ascii="Century Gothic" w:eastAsia="Century Gothic" w:hAnsi="Century Gothic" w:cs="Century Gothic"/>
          <w:color w:val="000000" w:themeColor="text1"/>
          <w:sz w:val="18"/>
          <w:szCs w:val="18"/>
          <w:lang w:val="es-ES"/>
        </w:rPr>
        <w:t>multienergía</w:t>
      </w:r>
      <w:proofErr w:type="spellEnd"/>
      <w:r w:rsidRPr="10C8913A">
        <w:rPr>
          <w:rFonts w:ascii="Century Gothic" w:eastAsia="Century Gothic" w:hAnsi="Century Gothic" w:cs="Century Gothic"/>
          <w:color w:val="000000" w:themeColor="text1"/>
          <w:sz w:val="18"/>
          <w:szCs w:val="18"/>
          <w:lang w:val="es-ES"/>
        </w:rPr>
        <w:t xml:space="preserve"> que incluyen recarga de vehículos eléctricos, servicios de mantenimiento, peajes y estacionamiento) y a pagos corporativos (tarjetas virtuales).</w:t>
      </w:r>
    </w:p>
    <w:p w14:paraId="1242ED12" w14:textId="77777777" w:rsidR="009717C8" w:rsidRDefault="009717C8" w:rsidP="009717C8">
      <w:pPr>
        <w:pBdr>
          <w:top w:val="nil"/>
          <w:left w:val="nil"/>
          <w:bottom w:val="nil"/>
          <w:right w:val="nil"/>
          <w:between w:val="nil"/>
        </w:pBdr>
        <w:spacing w:line="254" w:lineRule="auto"/>
        <w:jc w:val="both"/>
        <w:rPr>
          <w:rFonts w:ascii="Century Gothic" w:eastAsia="Century Gothic" w:hAnsi="Century Gothic" w:cs="Century Gothic"/>
          <w:color w:val="000000" w:themeColor="text1"/>
          <w:sz w:val="18"/>
          <w:szCs w:val="18"/>
          <w:lang w:val="es-ES"/>
        </w:rPr>
      </w:pPr>
    </w:p>
    <w:p w14:paraId="2C8D7BB8" w14:textId="77777777" w:rsidR="009717C8" w:rsidRDefault="009717C8" w:rsidP="009717C8">
      <w:pPr>
        <w:pBdr>
          <w:top w:val="nil"/>
          <w:left w:val="nil"/>
          <w:bottom w:val="nil"/>
          <w:right w:val="nil"/>
          <w:between w:val="nil"/>
        </w:pBdr>
        <w:spacing w:line="254" w:lineRule="auto"/>
        <w:jc w:val="both"/>
        <w:rPr>
          <w:rFonts w:ascii="Century Gothic" w:eastAsia="Century Gothic" w:hAnsi="Century Gothic" w:cs="Century Gothic"/>
          <w:color w:val="000000" w:themeColor="text1"/>
          <w:sz w:val="18"/>
          <w:szCs w:val="18"/>
          <w:lang w:val="es-ES"/>
        </w:rPr>
      </w:pPr>
      <w:r w:rsidRPr="10C8913A">
        <w:rPr>
          <w:rFonts w:ascii="Century Gothic" w:eastAsia="Century Gothic" w:hAnsi="Century Gothic" w:cs="Century Gothic"/>
          <w:color w:val="000000" w:themeColor="text1"/>
          <w:sz w:val="18"/>
          <w:szCs w:val="18"/>
          <w:lang w:val="es-ES"/>
        </w:rPr>
        <w:t xml:space="preserve">Guiadas por el propósito del Grupo, </w:t>
      </w:r>
      <w:r w:rsidRPr="10C8913A">
        <w:rPr>
          <w:rFonts w:ascii="Century Gothic" w:eastAsia="Century Gothic" w:hAnsi="Century Gothic" w:cs="Century Gothic"/>
          <w:i/>
          <w:iCs/>
          <w:color w:val="000000" w:themeColor="text1"/>
          <w:sz w:val="18"/>
          <w:szCs w:val="18"/>
          <w:lang w:val="es-ES"/>
        </w:rPr>
        <w:t>“</w:t>
      </w:r>
      <w:proofErr w:type="spellStart"/>
      <w:r w:rsidRPr="10C8913A">
        <w:rPr>
          <w:rFonts w:ascii="Century Gothic" w:eastAsia="Century Gothic" w:hAnsi="Century Gothic" w:cs="Century Gothic"/>
          <w:i/>
          <w:iCs/>
          <w:color w:val="000000" w:themeColor="text1"/>
          <w:sz w:val="18"/>
          <w:szCs w:val="18"/>
          <w:lang w:val="es-ES"/>
        </w:rPr>
        <w:t>Enrich</w:t>
      </w:r>
      <w:proofErr w:type="spellEnd"/>
      <w:r w:rsidRPr="10C8913A">
        <w:rPr>
          <w:rFonts w:ascii="Century Gothic" w:eastAsia="Century Gothic" w:hAnsi="Century Gothic" w:cs="Century Gothic"/>
          <w:i/>
          <w:iCs/>
          <w:color w:val="000000" w:themeColor="text1"/>
          <w:sz w:val="18"/>
          <w:szCs w:val="18"/>
          <w:lang w:val="es-ES"/>
        </w:rPr>
        <w:t xml:space="preserve"> </w:t>
      </w:r>
      <w:proofErr w:type="spellStart"/>
      <w:r w:rsidRPr="10C8913A">
        <w:rPr>
          <w:rFonts w:ascii="Century Gothic" w:eastAsia="Century Gothic" w:hAnsi="Century Gothic" w:cs="Century Gothic"/>
          <w:i/>
          <w:iCs/>
          <w:color w:val="000000" w:themeColor="text1"/>
          <w:sz w:val="18"/>
          <w:szCs w:val="18"/>
          <w:lang w:val="es-ES"/>
        </w:rPr>
        <w:t>connections</w:t>
      </w:r>
      <w:proofErr w:type="spellEnd"/>
      <w:r w:rsidRPr="10C8913A">
        <w:rPr>
          <w:rFonts w:ascii="Century Gothic" w:eastAsia="Century Gothic" w:hAnsi="Century Gothic" w:cs="Century Gothic"/>
          <w:i/>
          <w:iCs/>
          <w:color w:val="000000" w:themeColor="text1"/>
          <w:sz w:val="18"/>
          <w:szCs w:val="18"/>
          <w:lang w:val="es-ES"/>
        </w:rPr>
        <w:t xml:space="preserve">. For </w:t>
      </w:r>
      <w:proofErr w:type="spellStart"/>
      <w:r w:rsidRPr="10C8913A">
        <w:rPr>
          <w:rFonts w:ascii="Century Gothic" w:eastAsia="Century Gothic" w:hAnsi="Century Gothic" w:cs="Century Gothic"/>
          <w:i/>
          <w:iCs/>
          <w:color w:val="000000" w:themeColor="text1"/>
          <w:sz w:val="18"/>
          <w:szCs w:val="18"/>
          <w:lang w:val="es-ES"/>
        </w:rPr>
        <w:t>good</w:t>
      </w:r>
      <w:proofErr w:type="spellEnd"/>
      <w:r w:rsidRPr="10C8913A">
        <w:rPr>
          <w:rFonts w:ascii="Century Gothic" w:eastAsia="Century Gothic" w:hAnsi="Century Gothic" w:cs="Century Gothic"/>
          <w:i/>
          <w:iCs/>
          <w:color w:val="000000" w:themeColor="text1"/>
          <w:sz w:val="18"/>
          <w:szCs w:val="18"/>
          <w:lang w:val="es-ES"/>
        </w:rPr>
        <w:t>.”</w:t>
      </w:r>
      <w:r w:rsidRPr="10C8913A">
        <w:rPr>
          <w:rFonts w:ascii="Century Gothic" w:eastAsia="Century Gothic" w:hAnsi="Century Gothic" w:cs="Century Gothic"/>
          <w:color w:val="000000" w:themeColor="text1"/>
          <w:sz w:val="18"/>
          <w:szCs w:val="18"/>
          <w:lang w:val="es-ES"/>
        </w:rPr>
        <w:t>, estas soluciones mejoran el bienestar y el poder adquisitivo de los profesionales y simplifican la vida de los conductores profesionales. Asimismo, fomentan el acceso a una alimentación más saludable, a productos más respetuosos con el medioambiente y a una movilidad más sostenible. Además, contribuyen a mejorar la atractividad y la eficiencia de las empresas, dinamizando al mismo tiempo el mercado laboral y las economías locales.</w:t>
      </w:r>
    </w:p>
    <w:p w14:paraId="4AD013D1" w14:textId="77777777" w:rsidR="009717C8" w:rsidRDefault="009717C8" w:rsidP="009717C8">
      <w:pPr>
        <w:pBdr>
          <w:top w:val="nil"/>
          <w:left w:val="nil"/>
          <w:bottom w:val="nil"/>
          <w:right w:val="nil"/>
          <w:between w:val="nil"/>
        </w:pBdr>
        <w:spacing w:line="254" w:lineRule="auto"/>
        <w:jc w:val="both"/>
        <w:rPr>
          <w:rFonts w:ascii="Century Gothic" w:eastAsia="Century Gothic" w:hAnsi="Century Gothic" w:cs="Century Gothic"/>
          <w:color w:val="000000" w:themeColor="text1"/>
          <w:sz w:val="18"/>
          <w:szCs w:val="18"/>
          <w:lang w:val="es-ES"/>
        </w:rPr>
      </w:pPr>
    </w:p>
    <w:p w14:paraId="2B9507D4" w14:textId="77777777" w:rsidR="009717C8" w:rsidRDefault="009717C8" w:rsidP="009717C8">
      <w:pPr>
        <w:pBdr>
          <w:top w:val="nil"/>
          <w:left w:val="nil"/>
          <w:bottom w:val="nil"/>
          <w:right w:val="nil"/>
          <w:between w:val="nil"/>
        </w:pBdr>
        <w:spacing w:line="254" w:lineRule="auto"/>
        <w:jc w:val="both"/>
        <w:rPr>
          <w:rFonts w:ascii="Century Gothic" w:eastAsia="Century Gothic" w:hAnsi="Century Gothic" w:cs="Century Gothic"/>
          <w:color w:val="000000" w:themeColor="text1"/>
          <w:sz w:val="18"/>
          <w:szCs w:val="18"/>
          <w:lang w:val="es-ES"/>
        </w:rPr>
      </w:pPr>
      <w:r w:rsidRPr="10C8913A">
        <w:rPr>
          <w:rFonts w:ascii="Century Gothic" w:eastAsia="Century Gothic" w:hAnsi="Century Gothic" w:cs="Century Gothic"/>
          <w:color w:val="000000" w:themeColor="text1"/>
          <w:sz w:val="18"/>
          <w:szCs w:val="18"/>
          <w:lang w:val="es-ES"/>
        </w:rPr>
        <w:lastRenderedPageBreak/>
        <w:t>Los 12.000 profesionales de Edenred trabajan cada día para hacer del mundo laboral un ecosistema más conectado, seguro, eficiente y responsable.</w:t>
      </w:r>
    </w:p>
    <w:p w14:paraId="0F5A0DC3" w14:textId="77777777" w:rsidR="009717C8" w:rsidRDefault="009717C8" w:rsidP="009717C8">
      <w:pPr>
        <w:pBdr>
          <w:top w:val="nil"/>
          <w:left w:val="nil"/>
          <w:bottom w:val="nil"/>
          <w:right w:val="nil"/>
          <w:between w:val="nil"/>
        </w:pBdr>
        <w:spacing w:line="254" w:lineRule="auto"/>
        <w:jc w:val="both"/>
        <w:rPr>
          <w:rFonts w:ascii="Century Gothic" w:eastAsia="Century Gothic" w:hAnsi="Century Gothic" w:cs="Century Gothic"/>
          <w:color w:val="000000" w:themeColor="text1"/>
          <w:sz w:val="18"/>
          <w:szCs w:val="18"/>
          <w:lang w:val="es-ES"/>
        </w:rPr>
      </w:pPr>
    </w:p>
    <w:p w14:paraId="0CCE98BB" w14:textId="77777777" w:rsidR="009717C8" w:rsidRDefault="009717C8" w:rsidP="009717C8">
      <w:pPr>
        <w:pBdr>
          <w:top w:val="nil"/>
          <w:left w:val="nil"/>
          <w:bottom w:val="nil"/>
          <w:right w:val="nil"/>
          <w:between w:val="nil"/>
        </w:pBdr>
        <w:spacing w:line="254" w:lineRule="auto"/>
        <w:jc w:val="both"/>
        <w:rPr>
          <w:rFonts w:ascii="Century Gothic" w:eastAsia="Century Gothic" w:hAnsi="Century Gothic" w:cs="Century Gothic"/>
          <w:color w:val="000000" w:themeColor="text1"/>
          <w:sz w:val="18"/>
          <w:szCs w:val="18"/>
          <w:lang w:val="es-ES"/>
        </w:rPr>
      </w:pPr>
      <w:r w:rsidRPr="10C8913A">
        <w:rPr>
          <w:rFonts w:ascii="Century Gothic" w:eastAsia="Century Gothic" w:hAnsi="Century Gothic" w:cs="Century Gothic"/>
          <w:color w:val="000000" w:themeColor="text1"/>
          <w:sz w:val="18"/>
          <w:szCs w:val="18"/>
          <w:lang w:val="es-ES"/>
        </w:rPr>
        <w:t>En 2025, gracias a su plataforma tecnológica única, el Grupo generó un volumen de negocio de 49.000 millones de euros, principalmente a través de aplicaciones móviles, plataformas online y tarjetas.</w:t>
      </w:r>
    </w:p>
    <w:p w14:paraId="6CC5FBD2" w14:textId="77777777" w:rsidR="009717C8" w:rsidRDefault="009717C8" w:rsidP="009717C8">
      <w:pPr>
        <w:pBdr>
          <w:top w:val="nil"/>
          <w:left w:val="nil"/>
          <w:bottom w:val="nil"/>
          <w:right w:val="nil"/>
          <w:between w:val="nil"/>
        </w:pBdr>
        <w:spacing w:line="254" w:lineRule="auto"/>
        <w:jc w:val="both"/>
        <w:rPr>
          <w:rFonts w:ascii="Century Gothic" w:eastAsia="Century Gothic" w:hAnsi="Century Gothic" w:cs="Century Gothic"/>
          <w:color w:val="000000" w:themeColor="text1"/>
          <w:sz w:val="18"/>
          <w:szCs w:val="18"/>
          <w:lang w:val="es-ES"/>
        </w:rPr>
      </w:pPr>
    </w:p>
    <w:p w14:paraId="025AA8D8" w14:textId="77777777" w:rsidR="009717C8" w:rsidRDefault="009717C8" w:rsidP="009717C8">
      <w:pPr>
        <w:pBdr>
          <w:top w:val="nil"/>
          <w:left w:val="nil"/>
          <w:bottom w:val="nil"/>
          <w:right w:val="nil"/>
          <w:between w:val="nil"/>
        </w:pBdr>
        <w:spacing w:line="254" w:lineRule="auto"/>
        <w:jc w:val="both"/>
        <w:rPr>
          <w:rFonts w:ascii="Century Gothic" w:eastAsia="Century Gothic" w:hAnsi="Century Gothic" w:cs="Century Gothic"/>
          <w:color w:val="000000" w:themeColor="text1"/>
          <w:sz w:val="18"/>
          <w:szCs w:val="18"/>
          <w:lang w:val="es-ES"/>
        </w:rPr>
      </w:pPr>
      <w:r w:rsidRPr="10C8913A">
        <w:rPr>
          <w:rFonts w:ascii="Century Gothic" w:eastAsia="Century Gothic" w:hAnsi="Century Gothic" w:cs="Century Gothic"/>
          <w:color w:val="000000" w:themeColor="text1"/>
          <w:sz w:val="18"/>
          <w:szCs w:val="18"/>
          <w:lang w:val="es-ES"/>
        </w:rPr>
        <w:t xml:space="preserve">Edenred cotiza en la Bolsa de París (Euronext Paris) y forma parte de los siguientes índices: CAC Next 20, CAC Large 60, Euronext 100, Euronext Tech Leaders, FTSE4Good, DJSI Europe </w:t>
      </w:r>
      <w:proofErr w:type="spellStart"/>
      <w:r w:rsidRPr="10C8913A">
        <w:rPr>
          <w:rFonts w:ascii="Century Gothic" w:eastAsia="Century Gothic" w:hAnsi="Century Gothic" w:cs="Century Gothic"/>
          <w:color w:val="000000" w:themeColor="text1"/>
          <w:sz w:val="18"/>
          <w:szCs w:val="18"/>
          <w:lang w:val="es-ES"/>
        </w:rPr>
        <w:t>Index</w:t>
      </w:r>
      <w:proofErr w:type="spellEnd"/>
      <w:r w:rsidRPr="10C8913A">
        <w:rPr>
          <w:rFonts w:ascii="Century Gothic" w:eastAsia="Century Gothic" w:hAnsi="Century Gothic" w:cs="Century Gothic"/>
          <w:color w:val="000000" w:themeColor="text1"/>
          <w:sz w:val="18"/>
          <w:szCs w:val="18"/>
          <w:lang w:val="es-ES"/>
        </w:rPr>
        <w:t xml:space="preserve"> y DJSI World </w:t>
      </w:r>
      <w:proofErr w:type="spellStart"/>
      <w:r w:rsidRPr="10C8913A">
        <w:rPr>
          <w:rFonts w:ascii="Century Gothic" w:eastAsia="Century Gothic" w:hAnsi="Century Gothic" w:cs="Century Gothic"/>
          <w:color w:val="000000" w:themeColor="text1"/>
          <w:sz w:val="18"/>
          <w:szCs w:val="18"/>
          <w:lang w:val="es-ES"/>
        </w:rPr>
        <w:t>Index</w:t>
      </w:r>
      <w:proofErr w:type="spellEnd"/>
      <w:r w:rsidRPr="10C8913A">
        <w:rPr>
          <w:rFonts w:ascii="Century Gothic" w:eastAsia="Century Gothic" w:hAnsi="Century Gothic" w:cs="Century Gothic"/>
          <w:color w:val="000000" w:themeColor="text1"/>
          <w:sz w:val="18"/>
          <w:szCs w:val="18"/>
          <w:lang w:val="es-ES"/>
        </w:rPr>
        <w:t>.</w:t>
      </w:r>
    </w:p>
    <w:p w14:paraId="6B0C1C31" w14:textId="77777777" w:rsidR="009717C8" w:rsidRDefault="009717C8" w:rsidP="009717C8">
      <w:pPr>
        <w:pBdr>
          <w:top w:val="nil"/>
          <w:left w:val="nil"/>
          <w:bottom w:val="nil"/>
          <w:right w:val="nil"/>
          <w:between w:val="nil"/>
        </w:pBdr>
        <w:spacing w:line="254" w:lineRule="auto"/>
        <w:jc w:val="both"/>
        <w:rPr>
          <w:rFonts w:ascii="Century Gothic" w:eastAsia="Century Gothic" w:hAnsi="Century Gothic" w:cs="Century Gothic"/>
          <w:color w:val="000000" w:themeColor="text1"/>
          <w:sz w:val="18"/>
          <w:szCs w:val="18"/>
          <w:lang w:val="es-ES"/>
        </w:rPr>
      </w:pPr>
    </w:p>
    <w:p w14:paraId="4AA266B5" w14:textId="77777777" w:rsidR="009717C8" w:rsidRDefault="009717C8" w:rsidP="009717C8">
      <w:pPr>
        <w:spacing w:line="240" w:lineRule="auto"/>
        <w:jc w:val="both"/>
        <w:rPr>
          <w:rFonts w:ascii="Century Gothic" w:eastAsia="Century Gothic" w:hAnsi="Century Gothic" w:cs="Century Gothic"/>
          <w:color w:val="000000" w:themeColor="text1"/>
          <w:sz w:val="16"/>
          <w:szCs w:val="16"/>
          <w:lang w:val="es-ES"/>
        </w:rPr>
      </w:pPr>
      <w:r w:rsidRPr="10C8913A">
        <w:rPr>
          <w:rFonts w:ascii="Century Gothic" w:eastAsia="Century Gothic" w:hAnsi="Century Gothic" w:cs="Century Gothic"/>
          <w:i/>
          <w:iCs/>
          <w:color w:val="000000" w:themeColor="text1"/>
          <w:sz w:val="16"/>
          <w:szCs w:val="16"/>
          <w:lang w:val="es-ES"/>
        </w:rPr>
        <w:t>Los logotipos y otras marcas mencionadas y destacadas en este comunicado de prensa son marcas registradas de Edenred S.E., sus filiales o terceros. No pueden utilizarse con fines comerciales sin el consentimiento previo por escrito de sus propietarios.</w:t>
      </w:r>
    </w:p>
    <w:p w14:paraId="60992604" w14:textId="77777777" w:rsidR="0034131E" w:rsidRPr="00833D4F" w:rsidRDefault="0034131E" w:rsidP="009717C8">
      <w:pPr>
        <w:pBdr>
          <w:top w:val="nil"/>
          <w:left w:val="nil"/>
          <w:bottom w:val="nil"/>
          <w:right w:val="nil"/>
          <w:between w:val="nil"/>
        </w:pBdr>
        <w:spacing w:line="254" w:lineRule="auto"/>
        <w:jc w:val="both"/>
        <w:rPr>
          <w:rFonts w:ascii="Century Gothic" w:eastAsia="Century Gothic" w:hAnsi="Century Gothic" w:cs="Century Gothic"/>
          <w:color w:val="000000"/>
          <w:sz w:val="18"/>
          <w:szCs w:val="18"/>
          <w:lang w:val="es-ES"/>
        </w:rPr>
      </w:pPr>
    </w:p>
    <w:p w14:paraId="6E54591E" w14:textId="77777777" w:rsidR="0034131E" w:rsidRPr="00833D4F" w:rsidRDefault="0034131E" w:rsidP="009717C8">
      <w:pPr>
        <w:pBdr>
          <w:top w:val="nil"/>
          <w:left w:val="nil"/>
          <w:bottom w:val="nil"/>
          <w:right w:val="nil"/>
          <w:between w:val="nil"/>
        </w:pBdr>
        <w:spacing w:line="254" w:lineRule="auto"/>
        <w:jc w:val="both"/>
        <w:rPr>
          <w:rFonts w:ascii="Century Gothic" w:eastAsia="Century Gothic" w:hAnsi="Century Gothic" w:cs="Century Gothic"/>
          <w:b/>
          <w:color w:val="000000"/>
          <w:sz w:val="24"/>
          <w:szCs w:val="24"/>
          <w:lang w:val="es-ES"/>
        </w:rPr>
      </w:pPr>
    </w:p>
    <w:p w14:paraId="34EBC2CB" w14:textId="77777777" w:rsidR="0034131E" w:rsidRDefault="00E660F9">
      <w:pPr>
        <w:spacing w:line="254" w:lineRule="auto"/>
        <w:rPr>
          <w:rFonts w:ascii="Century Gothic" w:eastAsia="Century Gothic" w:hAnsi="Century Gothic" w:cs="Century Gothic"/>
          <w:b/>
          <w:color w:val="000000"/>
          <w:sz w:val="24"/>
          <w:szCs w:val="24"/>
        </w:rPr>
      </w:pPr>
      <w:r>
        <w:rPr>
          <w:rFonts w:ascii="Century Gothic" w:eastAsia="Century Gothic" w:hAnsi="Century Gothic" w:cs="Century Gothic"/>
          <w:b/>
          <w:color w:val="000000"/>
          <w:sz w:val="24"/>
          <w:szCs w:val="24"/>
        </w:rPr>
        <w:t>CONTACTO</w:t>
      </w:r>
    </w:p>
    <w:tbl>
      <w:tblPr>
        <w:tblStyle w:val="a"/>
        <w:tblW w:w="9655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5103"/>
        <w:gridCol w:w="4552"/>
      </w:tblGrid>
      <w:tr w:rsidR="0034131E" w14:paraId="10E87855" w14:textId="77777777">
        <w:trPr>
          <w:trHeight w:val="1725"/>
        </w:trPr>
        <w:tc>
          <w:tcPr>
            <w:tcW w:w="510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9CB8FE" w14:textId="77777777" w:rsidR="0034131E" w:rsidRDefault="0034131E">
            <w:pPr>
              <w:jc w:val="both"/>
              <w:rPr>
                <w:rFonts w:ascii="Century Gothic" w:eastAsia="Century Gothic" w:hAnsi="Century Gothic" w:cs="Century Gothic"/>
                <w:b/>
                <w:color w:val="000000"/>
                <w:sz w:val="16"/>
                <w:szCs w:val="16"/>
              </w:rPr>
            </w:pPr>
          </w:p>
          <w:p w14:paraId="3E71BA8C" w14:textId="77777777" w:rsidR="0034131E" w:rsidRDefault="00E660F9">
            <w:pPr>
              <w:jc w:val="both"/>
              <w:rPr>
                <w:rFonts w:ascii="Century Gothic" w:eastAsia="Century Gothic" w:hAnsi="Century Gothic" w:cs="Century Gothic"/>
                <w:b/>
                <w:color w:val="000000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b/>
                <w:color w:val="000000"/>
                <w:sz w:val="16"/>
                <w:szCs w:val="16"/>
              </w:rPr>
              <w:t>Edenred</w:t>
            </w:r>
          </w:p>
          <w:p w14:paraId="2C0E5145" w14:textId="77777777" w:rsidR="0034131E" w:rsidRDefault="00E660F9">
            <w:pPr>
              <w:jc w:val="both"/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</w:rPr>
              <w:t>Alejandro Delgado Sánchez</w:t>
            </w:r>
          </w:p>
          <w:p w14:paraId="3C5097B0" w14:textId="77777777" w:rsidR="0034131E" w:rsidRDefault="00E660F9">
            <w:pPr>
              <w:jc w:val="both"/>
            </w:pPr>
            <w:r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</w:rPr>
              <w:t xml:space="preserve">Communications </w:t>
            </w:r>
            <w:proofErr w:type="spellStart"/>
            <w:r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</w:rPr>
              <w:t>Specialist</w:t>
            </w:r>
            <w:proofErr w:type="spellEnd"/>
            <w:r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</w:rPr>
              <w:t xml:space="preserve"> </w:t>
            </w:r>
          </w:p>
          <w:p w14:paraId="7AD809AF" w14:textId="77777777" w:rsidR="0034131E" w:rsidRDefault="0034131E">
            <w:pPr>
              <w:jc w:val="both"/>
            </w:pPr>
            <w:hyperlink r:id="rId10">
              <w:r>
                <w:rPr>
                  <w:rFonts w:ascii="Century Gothic" w:eastAsia="Century Gothic" w:hAnsi="Century Gothic" w:cs="Century Gothic"/>
                  <w:color w:val="000000"/>
                  <w:sz w:val="16"/>
                  <w:szCs w:val="16"/>
                </w:rPr>
                <w:t>alejandro.delgadosanchez@edenred.com</w:t>
              </w:r>
            </w:hyperlink>
          </w:p>
          <w:p w14:paraId="4CF87B1B" w14:textId="77777777" w:rsidR="0034131E" w:rsidRDefault="0034131E">
            <w:pPr>
              <w:spacing w:line="251" w:lineRule="auto"/>
              <w:rPr>
                <w:rFonts w:ascii="Century Gothic" w:eastAsia="Century Gothic" w:hAnsi="Century Gothic" w:cs="Century Gothic"/>
                <w:b/>
                <w:color w:val="000000"/>
                <w:sz w:val="16"/>
                <w:szCs w:val="16"/>
              </w:rPr>
            </w:pPr>
          </w:p>
        </w:tc>
        <w:tc>
          <w:tcPr>
            <w:tcW w:w="455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979073" w14:textId="77777777" w:rsidR="0034131E" w:rsidRDefault="0034131E">
            <w:pPr>
              <w:spacing w:line="251" w:lineRule="auto"/>
              <w:rPr>
                <w:rFonts w:ascii="Century Gothic" w:eastAsia="Century Gothic" w:hAnsi="Century Gothic" w:cs="Century Gothic"/>
                <w:b/>
                <w:color w:val="000000"/>
                <w:sz w:val="16"/>
                <w:szCs w:val="16"/>
              </w:rPr>
            </w:pPr>
          </w:p>
          <w:p w14:paraId="188D7D39" w14:textId="77777777" w:rsidR="0034131E" w:rsidRDefault="00E660F9">
            <w:pPr>
              <w:spacing w:line="251" w:lineRule="auto"/>
              <w:rPr>
                <w:rFonts w:ascii="Century Gothic" w:eastAsia="Century Gothic" w:hAnsi="Century Gothic" w:cs="Century Gothic"/>
                <w:b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Century Gothic" w:eastAsia="Century Gothic" w:hAnsi="Century Gothic" w:cs="Century Gothic"/>
                <w:b/>
                <w:color w:val="000000"/>
                <w:sz w:val="16"/>
                <w:szCs w:val="16"/>
              </w:rPr>
              <w:t>Newlink</w:t>
            </w:r>
            <w:proofErr w:type="spellEnd"/>
            <w:r>
              <w:rPr>
                <w:rFonts w:ascii="Century Gothic" w:eastAsia="Century Gothic" w:hAnsi="Century Gothic" w:cs="Century Gothic"/>
                <w:b/>
                <w:color w:val="000000"/>
                <w:sz w:val="16"/>
                <w:szCs w:val="16"/>
              </w:rPr>
              <w:t xml:space="preserve"> Spain </w:t>
            </w:r>
          </w:p>
          <w:p w14:paraId="0709A77C" w14:textId="77777777" w:rsidR="0034131E" w:rsidRDefault="00E660F9">
            <w:pPr>
              <w:spacing w:line="251" w:lineRule="auto"/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</w:rPr>
              <w:t>Marina Gascón | Patricia Vizcaíno | Sara García</w:t>
            </w:r>
          </w:p>
          <w:p w14:paraId="186B073B" w14:textId="77777777" w:rsidR="0034131E" w:rsidRDefault="00E660F9">
            <w:pPr>
              <w:spacing w:line="251" w:lineRule="auto"/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</w:rPr>
              <w:t>651 96 34 59</w:t>
            </w:r>
          </w:p>
          <w:p w14:paraId="5D012B56" w14:textId="77777777" w:rsidR="0034131E" w:rsidRDefault="0034131E">
            <w:pPr>
              <w:spacing w:line="251" w:lineRule="auto"/>
            </w:pPr>
            <w:hyperlink r:id="rId11">
              <w:r>
                <w:rPr>
                  <w:rFonts w:ascii="Century Gothic" w:eastAsia="Century Gothic" w:hAnsi="Century Gothic" w:cs="Century Gothic"/>
                  <w:color w:val="000000"/>
                  <w:sz w:val="16"/>
                  <w:szCs w:val="16"/>
                </w:rPr>
                <w:t>equipo.edenred@newlink-group.com</w:t>
              </w:r>
            </w:hyperlink>
          </w:p>
        </w:tc>
      </w:tr>
    </w:tbl>
    <w:p w14:paraId="71CD1086" w14:textId="77777777" w:rsidR="0034131E" w:rsidRDefault="0034131E">
      <w:pPr>
        <w:ind w:left="141"/>
        <w:rPr>
          <w:color w:val="002060"/>
        </w:rPr>
      </w:pPr>
    </w:p>
    <w:p w14:paraId="62FFDE23" w14:textId="77777777" w:rsidR="0034131E" w:rsidRDefault="0034131E">
      <w:pPr>
        <w:tabs>
          <w:tab w:val="left" w:pos="2760"/>
        </w:tabs>
      </w:pPr>
    </w:p>
    <w:sectPr w:rsidR="0034131E">
      <w:footerReference w:type="default" r:id="rId12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3635DE5" w14:textId="77777777" w:rsidR="00D1268A" w:rsidRDefault="00D1268A">
      <w:pPr>
        <w:spacing w:line="240" w:lineRule="auto"/>
      </w:pPr>
      <w:r>
        <w:separator/>
      </w:r>
    </w:p>
  </w:endnote>
  <w:endnote w:type="continuationSeparator" w:id="0">
    <w:p w14:paraId="0F4BD61B" w14:textId="77777777" w:rsidR="00D1268A" w:rsidRDefault="00D1268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1" w:fontKey="{88C563FE-3AE4-4E72-8439-901236FDE4EC}"/>
    <w:embedBold r:id="rId2" w:fontKey="{E6979D90-9E4E-410B-B43E-DD9D33366A4E}"/>
    <w:embedItalic r:id="rId3" w:fontKey="{4E2DE6CE-6112-4618-A376-6631F3B00EF0}"/>
    <w:embedBoldItalic r:id="rId4" w:fontKey="{7529F99A-DB1D-4C2A-94B1-2C7C7728E2FC}"/>
  </w:font>
  <w:font w:name="URW Gothic">
    <w:altName w:val="Calibri"/>
    <w:charset w:val="00"/>
    <w:family w:val="auto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9DE3C6E0-C31D-4050-9677-25B39983D8D3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4F01910A-C6C7-44C6-94AE-DF493BFA03F4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FE1B6FF4-32F9-4FD6-929A-513CBF149952}"/>
    <w:embedItalic r:id="rId8" w:fontKey="{3BC49637-AD67-466D-9B58-B9D82E312C8B}"/>
  </w:font>
  <w:font w:name="PMingLiU"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9" w:fontKey="{941BD736-854B-4705-9288-3B98D1358E9D}"/>
  </w:font>
  <w:font w:name="Aptos">
    <w:altName w:val="Aptos"/>
    <w:charset w:val="00"/>
    <w:family w:val="swiss"/>
    <w:pitch w:val="variable"/>
    <w:sig w:usb0="20000287" w:usb1="00000003" w:usb2="00000000" w:usb3="00000000" w:csb0="0000019F" w:csb1="00000000"/>
    <w:embedRegular r:id="rId10" w:fontKey="{EC059A07-8FEF-4BDD-B013-EFAE995C61E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255193" w14:textId="77777777" w:rsidR="0034131E" w:rsidRDefault="00E660F9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3B5CB540" wp14:editId="6EA21FCE">
          <wp:simplePos x="0" y="0"/>
          <wp:positionH relativeFrom="column">
            <wp:posOffset>1</wp:posOffset>
          </wp:positionH>
          <wp:positionV relativeFrom="paragraph">
            <wp:posOffset>0</wp:posOffset>
          </wp:positionV>
          <wp:extent cx="525697" cy="337303"/>
          <wp:effectExtent l="0" t="0" r="0" b="0"/>
          <wp:wrapNone/>
          <wp:docPr id="827937672" name="image1.png" descr="Logotipo&#10;&#10;Descripción generada automá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Logotipo&#10;&#10;Descripción generada automáticament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25697" cy="33730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8712246" w14:textId="77777777" w:rsidR="00D1268A" w:rsidRDefault="00D1268A">
      <w:pPr>
        <w:spacing w:line="240" w:lineRule="auto"/>
      </w:pPr>
      <w:r>
        <w:separator/>
      </w:r>
    </w:p>
  </w:footnote>
  <w:footnote w:type="continuationSeparator" w:id="0">
    <w:p w14:paraId="09507075" w14:textId="77777777" w:rsidR="00D1268A" w:rsidRDefault="00D1268A">
      <w:pPr>
        <w:spacing w:line="240" w:lineRule="auto"/>
      </w:pPr>
      <w:r>
        <w:continuationSeparator/>
      </w:r>
    </w:p>
  </w:footnote>
  <w:footnote w:id="1">
    <w:p w14:paraId="62CF0ADB" w14:textId="5B02F854" w:rsidR="00457D0C" w:rsidRPr="008528A6" w:rsidRDefault="00457D0C">
      <w:pPr>
        <w:pStyle w:val="Textonotapie"/>
        <w:rPr>
          <w:lang w:val="en-US"/>
        </w:rPr>
      </w:pPr>
      <w:r>
        <w:rPr>
          <w:rStyle w:val="Refdenotaalpie"/>
        </w:rPr>
        <w:footnoteRef/>
      </w:r>
      <w:r>
        <w:t xml:space="preserve"> </w:t>
      </w:r>
      <w:r w:rsidR="008528A6" w:rsidRPr="008528A6">
        <w:t xml:space="preserve">Like-for-like </w:t>
      </w:r>
      <w:proofErr w:type="spellStart"/>
      <w:r w:rsidR="008528A6" w:rsidRPr="008528A6">
        <w:t>growth</w:t>
      </w:r>
      <w:proofErr w:type="spellEnd"/>
      <w:r w:rsidR="008528A6" w:rsidRPr="008528A6">
        <w:t xml:space="preserve">, </w:t>
      </w:r>
      <w:proofErr w:type="spellStart"/>
      <w:r w:rsidR="008528A6" w:rsidRPr="008528A6">
        <w:t>excluding</w:t>
      </w:r>
      <w:proofErr w:type="spellEnd"/>
      <w:r w:rsidR="008528A6" w:rsidRPr="008528A6">
        <w:t xml:space="preserve"> impact </w:t>
      </w:r>
      <w:proofErr w:type="spellStart"/>
      <w:r w:rsidR="008528A6" w:rsidRPr="008528A6">
        <w:t>from</w:t>
      </w:r>
      <w:proofErr w:type="spellEnd"/>
      <w:r w:rsidR="008528A6" w:rsidRPr="008528A6">
        <w:t xml:space="preserve"> </w:t>
      </w:r>
      <w:proofErr w:type="spellStart"/>
      <w:r w:rsidR="008528A6" w:rsidRPr="008528A6">
        <w:t>regulatory</w:t>
      </w:r>
      <w:proofErr w:type="spellEnd"/>
      <w:r w:rsidR="008528A6" w:rsidRPr="008528A6">
        <w:t xml:space="preserve"> change in Italy and Brazil</w:t>
      </w:r>
    </w:p>
  </w:footnote>
  <w:footnote w:id="2">
    <w:p w14:paraId="3F99FE48" w14:textId="1D203D65" w:rsidR="008528A6" w:rsidRPr="008528A6" w:rsidRDefault="008528A6">
      <w:pPr>
        <w:pStyle w:val="Textonotapie"/>
        <w:rPr>
          <w:lang w:val="en-US"/>
        </w:rPr>
      </w:pPr>
      <w:r>
        <w:rPr>
          <w:rStyle w:val="Refdenotaalpie"/>
        </w:rPr>
        <w:footnoteRef/>
      </w:r>
      <w:r>
        <w:t xml:space="preserve"> </w:t>
      </w:r>
      <w:r w:rsidRPr="008528A6">
        <w:t xml:space="preserve">At constant </w:t>
      </w:r>
      <w:proofErr w:type="spellStart"/>
      <w:r w:rsidRPr="008528A6">
        <w:t>regulations</w:t>
      </w:r>
      <w:proofErr w:type="spellEnd"/>
      <w:r w:rsidRPr="008528A6">
        <w:t xml:space="preserve"> and </w:t>
      </w:r>
      <w:proofErr w:type="spellStart"/>
      <w:r w:rsidRPr="008528A6">
        <w:t>methodologies</w:t>
      </w:r>
      <w:proofErr w:type="spellEnd"/>
      <w:r w:rsidRPr="008528A6">
        <w:t xml:space="preserve"> (e.g. </w:t>
      </w:r>
      <w:proofErr w:type="spellStart"/>
      <w:r w:rsidRPr="008528A6">
        <w:t>excl</w:t>
      </w:r>
      <w:proofErr w:type="spellEnd"/>
      <w:r w:rsidRPr="008528A6">
        <w:t xml:space="preserve">. impact </w:t>
      </w:r>
      <w:proofErr w:type="spellStart"/>
      <w:r w:rsidRPr="008528A6">
        <w:t>from</w:t>
      </w:r>
      <w:proofErr w:type="spellEnd"/>
      <w:r w:rsidRPr="008528A6">
        <w:t xml:space="preserve"> </w:t>
      </w:r>
      <w:proofErr w:type="spellStart"/>
      <w:r w:rsidRPr="008528A6">
        <w:t>regulatory</w:t>
      </w:r>
      <w:proofErr w:type="spellEnd"/>
      <w:r w:rsidRPr="008528A6">
        <w:t xml:space="preserve"> change in Brazil and Italy)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2F5B5F"/>
    <w:multiLevelType w:val="multilevel"/>
    <w:tmpl w:val="2C6A56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7956079"/>
    <w:multiLevelType w:val="hybridMultilevel"/>
    <w:tmpl w:val="9CF04CEA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9644AC5"/>
    <w:multiLevelType w:val="multilevel"/>
    <w:tmpl w:val="640A55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C854FB0"/>
    <w:multiLevelType w:val="multilevel"/>
    <w:tmpl w:val="99C81776"/>
    <w:lvl w:ilvl="0">
      <w:start w:val="1"/>
      <w:numFmt w:val="decimal"/>
      <w:pStyle w:val="BoxBullet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4" w15:restartNumberingAfterBreak="0">
    <w:nsid w:val="20965C14"/>
    <w:multiLevelType w:val="multilevel"/>
    <w:tmpl w:val="8BD4B8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B866DFC"/>
    <w:multiLevelType w:val="multilevel"/>
    <w:tmpl w:val="7BEEF018"/>
    <w:lvl w:ilvl="0">
      <w:start w:val="1"/>
      <w:numFmt w:val="bullet"/>
      <w:pStyle w:val="BulletLead-in2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2E1B04D7"/>
    <w:multiLevelType w:val="multilevel"/>
    <w:tmpl w:val="D5965A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FB867B9"/>
    <w:multiLevelType w:val="hybridMultilevel"/>
    <w:tmpl w:val="0CB625B6"/>
    <w:lvl w:ilvl="0" w:tplc="5EC29DB8">
      <w:numFmt w:val="bullet"/>
      <w:lvlText w:val="-"/>
      <w:lvlJc w:val="left"/>
      <w:pPr>
        <w:ind w:left="720" w:hanging="360"/>
      </w:pPr>
      <w:rPr>
        <w:rFonts w:ascii="Century Gothic" w:eastAsia="Century Gothic" w:hAnsi="Century Gothic" w:cs="Century Gothic" w:hint="default"/>
        <w:b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19A13ED"/>
    <w:multiLevelType w:val="multilevel"/>
    <w:tmpl w:val="3A927F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6342090"/>
    <w:multiLevelType w:val="multilevel"/>
    <w:tmpl w:val="D8D02B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64B1BCF"/>
    <w:multiLevelType w:val="hybridMultilevel"/>
    <w:tmpl w:val="2F66B38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6A63E5F"/>
    <w:multiLevelType w:val="multilevel"/>
    <w:tmpl w:val="EA3E14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789529C"/>
    <w:multiLevelType w:val="hybridMultilevel"/>
    <w:tmpl w:val="D3C26372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381B2547"/>
    <w:multiLevelType w:val="multilevel"/>
    <w:tmpl w:val="936C42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FA13BAB"/>
    <w:multiLevelType w:val="multilevel"/>
    <w:tmpl w:val="A6A248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0B21CF7"/>
    <w:multiLevelType w:val="multilevel"/>
    <w:tmpl w:val="E9B8B5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47D3B1F"/>
    <w:multiLevelType w:val="multilevel"/>
    <w:tmpl w:val="A64893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76F7F25"/>
    <w:multiLevelType w:val="multilevel"/>
    <w:tmpl w:val="21AE51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5F14517E"/>
    <w:multiLevelType w:val="multilevel"/>
    <w:tmpl w:val="244E2E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3A45956"/>
    <w:multiLevelType w:val="multilevel"/>
    <w:tmpl w:val="28A6CBD6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URW Gothic" w:eastAsia="URW Gothic" w:hAnsi="URW Gothic" w:cs="URW Gothic" w:hint="default"/>
        <w:b w:val="0"/>
        <w:bCs w:val="0"/>
        <w:i w:val="0"/>
        <w:iCs w:val="0"/>
        <w:spacing w:val="0"/>
        <w:w w:val="99"/>
        <w:sz w:val="20"/>
        <w:szCs w:val="20"/>
        <w:lang w:val="en-US" w:eastAsia="en-US" w:bidi="ar-SA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663B340A"/>
    <w:multiLevelType w:val="multilevel"/>
    <w:tmpl w:val="3A96FD3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6CB65CE6"/>
    <w:multiLevelType w:val="multilevel"/>
    <w:tmpl w:val="45F88D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6DB04E24"/>
    <w:multiLevelType w:val="multilevel"/>
    <w:tmpl w:val="0B866C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540246018">
    <w:abstractNumId w:val="5"/>
  </w:num>
  <w:num w:numId="2" w16cid:durableId="620915189">
    <w:abstractNumId w:val="3"/>
  </w:num>
  <w:num w:numId="3" w16cid:durableId="95028213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803698190">
    <w:abstractNumId w:val="2"/>
  </w:num>
  <w:num w:numId="5" w16cid:durableId="1620795933">
    <w:abstractNumId w:val="15"/>
  </w:num>
  <w:num w:numId="6" w16cid:durableId="615062920">
    <w:abstractNumId w:val="17"/>
  </w:num>
  <w:num w:numId="7" w16cid:durableId="1644777061">
    <w:abstractNumId w:val="12"/>
  </w:num>
  <w:num w:numId="8" w16cid:durableId="948393040">
    <w:abstractNumId w:val="10"/>
  </w:num>
  <w:num w:numId="9" w16cid:durableId="415787886">
    <w:abstractNumId w:val="20"/>
  </w:num>
  <w:num w:numId="10" w16cid:durableId="646012108">
    <w:abstractNumId w:val="8"/>
  </w:num>
  <w:num w:numId="11" w16cid:durableId="372310515">
    <w:abstractNumId w:val="13"/>
  </w:num>
  <w:num w:numId="12" w16cid:durableId="104082762">
    <w:abstractNumId w:val="7"/>
  </w:num>
  <w:num w:numId="13" w16cid:durableId="259801345">
    <w:abstractNumId w:val="19"/>
  </w:num>
  <w:num w:numId="14" w16cid:durableId="1071276580">
    <w:abstractNumId w:val="9"/>
  </w:num>
  <w:num w:numId="15" w16cid:durableId="1909462321">
    <w:abstractNumId w:val="16"/>
  </w:num>
  <w:num w:numId="16" w16cid:durableId="1562908601">
    <w:abstractNumId w:val="14"/>
  </w:num>
  <w:num w:numId="17" w16cid:durableId="713041676">
    <w:abstractNumId w:val="11"/>
  </w:num>
  <w:num w:numId="18" w16cid:durableId="579602307">
    <w:abstractNumId w:val="18"/>
  </w:num>
  <w:num w:numId="19" w16cid:durableId="1397127095">
    <w:abstractNumId w:val="6"/>
  </w:num>
  <w:num w:numId="20" w16cid:durableId="1547065516">
    <w:abstractNumId w:val="21"/>
  </w:num>
  <w:num w:numId="21" w16cid:durableId="673535894">
    <w:abstractNumId w:val="0"/>
  </w:num>
  <w:num w:numId="22" w16cid:durableId="1376152406">
    <w:abstractNumId w:val="22"/>
  </w:num>
  <w:num w:numId="23" w16cid:durableId="700475634">
    <w:abstractNumId w:val="4"/>
  </w:num>
  <w:num w:numId="24" w16cid:durableId="130025922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4131E"/>
    <w:rsid w:val="00001131"/>
    <w:rsid w:val="00004095"/>
    <w:rsid w:val="000068E3"/>
    <w:rsid w:val="00022255"/>
    <w:rsid w:val="00025630"/>
    <w:rsid w:val="00025F0A"/>
    <w:rsid w:val="00025F65"/>
    <w:rsid w:val="000323C6"/>
    <w:rsid w:val="00035309"/>
    <w:rsid w:val="0003750C"/>
    <w:rsid w:val="00041721"/>
    <w:rsid w:val="000417DA"/>
    <w:rsid w:val="0004474C"/>
    <w:rsid w:val="000512F0"/>
    <w:rsid w:val="00053526"/>
    <w:rsid w:val="0005490B"/>
    <w:rsid w:val="00054F03"/>
    <w:rsid w:val="00071659"/>
    <w:rsid w:val="0007216B"/>
    <w:rsid w:val="000873EB"/>
    <w:rsid w:val="00092205"/>
    <w:rsid w:val="000A4CBF"/>
    <w:rsid w:val="000B15B7"/>
    <w:rsid w:val="000E5BEA"/>
    <w:rsid w:val="000F4162"/>
    <w:rsid w:val="000F6F2F"/>
    <w:rsid w:val="00106125"/>
    <w:rsid w:val="00122812"/>
    <w:rsid w:val="00124824"/>
    <w:rsid w:val="00125440"/>
    <w:rsid w:val="001325F8"/>
    <w:rsid w:val="00133556"/>
    <w:rsid w:val="001361C7"/>
    <w:rsid w:val="001509D5"/>
    <w:rsid w:val="001533EB"/>
    <w:rsid w:val="0015572E"/>
    <w:rsid w:val="001724EC"/>
    <w:rsid w:val="0017574A"/>
    <w:rsid w:val="001832D9"/>
    <w:rsid w:val="0018413A"/>
    <w:rsid w:val="00187A61"/>
    <w:rsid w:val="00196D68"/>
    <w:rsid w:val="001B3304"/>
    <w:rsid w:val="001B6F44"/>
    <w:rsid w:val="001C4938"/>
    <w:rsid w:val="001D2A91"/>
    <w:rsid w:val="001D65D3"/>
    <w:rsid w:val="001D6EE6"/>
    <w:rsid w:val="001E738B"/>
    <w:rsid w:val="001F077B"/>
    <w:rsid w:val="001F472E"/>
    <w:rsid w:val="001F687B"/>
    <w:rsid w:val="001F79A2"/>
    <w:rsid w:val="002023FC"/>
    <w:rsid w:val="00202F85"/>
    <w:rsid w:val="00203447"/>
    <w:rsid w:val="0021067C"/>
    <w:rsid w:val="00215502"/>
    <w:rsid w:val="00220411"/>
    <w:rsid w:val="0023680A"/>
    <w:rsid w:val="00240BFF"/>
    <w:rsid w:val="00240C55"/>
    <w:rsid w:val="002500B4"/>
    <w:rsid w:val="0025118D"/>
    <w:rsid w:val="00251D9A"/>
    <w:rsid w:val="0026388D"/>
    <w:rsid w:val="002665DB"/>
    <w:rsid w:val="00282D32"/>
    <w:rsid w:val="00292119"/>
    <w:rsid w:val="00293519"/>
    <w:rsid w:val="00295F42"/>
    <w:rsid w:val="002A08A5"/>
    <w:rsid w:val="002A32F6"/>
    <w:rsid w:val="002A58F6"/>
    <w:rsid w:val="002AC8F9"/>
    <w:rsid w:val="002D4BFB"/>
    <w:rsid w:val="002E2116"/>
    <w:rsid w:val="002E2D5A"/>
    <w:rsid w:val="002E4084"/>
    <w:rsid w:val="002F6B0B"/>
    <w:rsid w:val="00306C54"/>
    <w:rsid w:val="00316012"/>
    <w:rsid w:val="00323902"/>
    <w:rsid w:val="003242B0"/>
    <w:rsid w:val="0033161C"/>
    <w:rsid w:val="0034131E"/>
    <w:rsid w:val="00346AD9"/>
    <w:rsid w:val="003470F9"/>
    <w:rsid w:val="00350B2A"/>
    <w:rsid w:val="00352B26"/>
    <w:rsid w:val="003530F0"/>
    <w:rsid w:val="00356430"/>
    <w:rsid w:val="0035750B"/>
    <w:rsid w:val="0037071E"/>
    <w:rsid w:val="00372049"/>
    <w:rsid w:val="00372C87"/>
    <w:rsid w:val="003845A2"/>
    <w:rsid w:val="003871DC"/>
    <w:rsid w:val="003934A1"/>
    <w:rsid w:val="0039534F"/>
    <w:rsid w:val="003A6ABA"/>
    <w:rsid w:val="003B08CC"/>
    <w:rsid w:val="003B1B90"/>
    <w:rsid w:val="003B6073"/>
    <w:rsid w:val="003C0022"/>
    <w:rsid w:val="003D2293"/>
    <w:rsid w:val="003D5524"/>
    <w:rsid w:val="003E2D6C"/>
    <w:rsid w:val="003E2FB8"/>
    <w:rsid w:val="003E7120"/>
    <w:rsid w:val="004106E1"/>
    <w:rsid w:val="004162FF"/>
    <w:rsid w:val="00420B2F"/>
    <w:rsid w:val="00420F6F"/>
    <w:rsid w:val="00427E2A"/>
    <w:rsid w:val="00440013"/>
    <w:rsid w:val="004402DC"/>
    <w:rsid w:val="0045258F"/>
    <w:rsid w:val="0045496E"/>
    <w:rsid w:val="00457D0C"/>
    <w:rsid w:val="00457E63"/>
    <w:rsid w:val="0047282A"/>
    <w:rsid w:val="004947B0"/>
    <w:rsid w:val="004B0ABE"/>
    <w:rsid w:val="004B1BA1"/>
    <w:rsid w:val="004B6C7F"/>
    <w:rsid w:val="004C0418"/>
    <w:rsid w:val="004C218A"/>
    <w:rsid w:val="004D721E"/>
    <w:rsid w:val="004E5017"/>
    <w:rsid w:val="00504A98"/>
    <w:rsid w:val="00505983"/>
    <w:rsid w:val="00505EFC"/>
    <w:rsid w:val="00513785"/>
    <w:rsid w:val="005160D2"/>
    <w:rsid w:val="00550198"/>
    <w:rsid w:val="005667E4"/>
    <w:rsid w:val="0057489F"/>
    <w:rsid w:val="00577129"/>
    <w:rsid w:val="00582CBC"/>
    <w:rsid w:val="00584BD2"/>
    <w:rsid w:val="00584EC4"/>
    <w:rsid w:val="00590726"/>
    <w:rsid w:val="005A0C33"/>
    <w:rsid w:val="005A49F7"/>
    <w:rsid w:val="005C31B6"/>
    <w:rsid w:val="005D09EE"/>
    <w:rsid w:val="005D44D8"/>
    <w:rsid w:val="005D5C33"/>
    <w:rsid w:val="005E195F"/>
    <w:rsid w:val="005F1892"/>
    <w:rsid w:val="00600759"/>
    <w:rsid w:val="006053DD"/>
    <w:rsid w:val="00605A7B"/>
    <w:rsid w:val="00613398"/>
    <w:rsid w:val="006161AE"/>
    <w:rsid w:val="00643AAD"/>
    <w:rsid w:val="00665B97"/>
    <w:rsid w:val="006662D7"/>
    <w:rsid w:val="006665A6"/>
    <w:rsid w:val="006674B5"/>
    <w:rsid w:val="00667F07"/>
    <w:rsid w:val="0068486D"/>
    <w:rsid w:val="00693B0A"/>
    <w:rsid w:val="006A2018"/>
    <w:rsid w:val="006C0F32"/>
    <w:rsid w:val="006C703E"/>
    <w:rsid w:val="006D0E3A"/>
    <w:rsid w:val="006D4363"/>
    <w:rsid w:val="006E4D06"/>
    <w:rsid w:val="006F503B"/>
    <w:rsid w:val="00705CB8"/>
    <w:rsid w:val="00711AC4"/>
    <w:rsid w:val="00713768"/>
    <w:rsid w:val="00713AC2"/>
    <w:rsid w:val="00714118"/>
    <w:rsid w:val="007142AE"/>
    <w:rsid w:val="0071623A"/>
    <w:rsid w:val="00720D3A"/>
    <w:rsid w:val="00726216"/>
    <w:rsid w:val="00736ABB"/>
    <w:rsid w:val="00741E0C"/>
    <w:rsid w:val="007464E8"/>
    <w:rsid w:val="00751D20"/>
    <w:rsid w:val="007526FE"/>
    <w:rsid w:val="00754BD4"/>
    <w:rsid w:val="0075745C"/>
    <w:rsid w:val="007624FC"/>
    <w:rsid w:val="00766BAF"/>
    <w:rsid w:val="0078018B"/>
    <w:rsid w:val="007818AD"/>
    <w:rsid w:val="007939DF"/>
    <w:rsid w:val="00793DB6"/>
    <w:rsid w:val="007A18EE"/>
    <w:rsid w:val="007A254F"/>
    <w:rsid w:val="007A4627"/>
    <w:rsid w:val="007A4899"/>
    <w:rsid w:val="007B551B"/>
    <w:rsid w:val="007C753D"/>
    <w:rsid w:val="007C7B55"/>
    <w:rsid w:val="007D1E1B"/>
    <w:rsid w:val="007D3A70"/>
    <w:rsid w:val="007E0322"/>
    <w:rsid w:val="007E0FDF"/>
    <w:rsid w:val="007F01E3"/>
    <w:rsid w:val="007F361A"/>
    <w:rsid w:val="0080549B"/>
    <w:rsid w:val="0081117A"/>
    <w:rsid w:val="00816D2B"/>
    <w:rsid w:val="0083385A"/>
    <w:rsid w:val="00833D4F"/>
    <w:rsid w:val="0084066C"/>
    <w:rsid w:val="00842961"/>
    <w:rsid w:val="008528A6"/>
    <w:rsid w:val="00857B31"/>
    <w:rsid w:val="00867695"/>
    <w:rsid w:val="008772FF"/>
    <w:rsid w:val="00880B27"/>
    <w:rsid w:val="0088228D"/>
    <w:rsid w:val="0088391F"/>
    <w:rsid w:val="0089688A"/>
    <w:rsid w:val="008B1380"/>
    <w:rsid w:val="008B282B"/>
    <w:rsid w:val="008B3796"/>
    <w:rsid w:val="008B41AE"/>
    <w:rsid w:val="008C1849"/>
    <w:rsid w:val="008C5C42"/>
    <w:rsid w:val="008D40B2"/>
    <w:rsid w:val="008D4734"/>
    <w:rsid w:val="008D77A2"/>
    <w:rsid w:val="008F4B3F"/>
    <w:rsid w:val="008F64D6"/>
    <w:rsid w:val="0091303A"/>
    <w:rsid w:val="00915638"/>
    <w:rsid w:val="00922EAE"/>
    <w:rsid w:val="0092607F"/>
    <w:rsid w:val="00936408"/>
    <w:rsid w:val="00941FE5"/>
    <w:rsid w:val="009437D4"/>
    <w:rsid w:val="0096069A"/>
    <w:rsid w:val="00963D99"/>
    <w:rsid w:val="009717C8"/>
    <w:rsid w:val="00971FE1"/>
    <w:rsid w:val="0097713A"/>
    <w:rsid w:val="00980339"/>
    <w:rsid w:val="00996808"/>
    <w:rsid w:val="009A6777"/>
    <w:rsid w:val="009A6BE4"/>
    <w:rsid w:val="009C2205"/>
    <w:rsid w:val="009C2F55"/>
    <w:rsid w:val="009D71F7"/>
    <w:rsid w:val="009E4AFC"/>
    <w:rsid w:val="009F4EA4"/>
    <w:rsid w:val="009F5D79"/>
    <w:rsid w:val="00A0047A"/>
    <w:rsid w:val="00A07989"/>
    <w:rsid w:val="00A120D0"/>
    <w:rsid w:val="00A12632"/>
    <w:rsid w:val="00A144BA"/>
    <w:rsid w:val="00A153E8"/>
    <w:rsid w:val="00A324B6"/>
    <w:rsid w:val="00A329FB"/>
    <w:rsid w:val="00A367C9"/>
    <w:rsid w:val="00A446DD"/>
    <w:rsid w:val="00A458BE"/>
    <w:rsid w:val="00A50C82"/>
    <w:rsid w:val="00A514EC"/>
    <w:rsid w:val="00A51A29"/>
    <w:rsid w:val="00A63651"/>
    <w:rsid w:val="00A6484B"/>
    <w:rsid w:val="00A75C6D"/>
    <w:rsid w:val="00A76561"/>
    <w:rsid w:val="00A95D2A"/>
    <w:rsid w:val="00AA3086"/>
    <w:rsid w:val="00AC25DE"/>
    <w:rsid w:val="00AD5033"/>
    <w:rsid w:val="00AE6FF0"/>
    <w:rsid w:val="00B127EA"/>
    <w:rsid w:val="00B15D8C"/>
    <w:rsid w:val="00B22000"/>
    <w:rsid w:val="00B35B98"/>
    <w:rsid w:val="00B36B85"/>
    <w:rsid w:val="00B43D04"/>
    <w:rsid w:val="00B52170"/>
    <w:rsid w:val="00B70AFB"/>
    <w:rsid w:val="00B77553"/>
    <w:rsid w:val="00B96983"/>
    <w:rsid w:val="00BA1F2A"/>
    <w:rsid w:val="00BA70E9"/>
    <w:rsid w:val="00BB29B5"/>
    <w:rsid w:val="00BB4148"/>
    <w:rsid w:val="00BC6A55"/>
    <w:rsid w:val="00BC7B11"/>
    <w:rsid w:val="00BD0652"/>
    <w:rsid w:val="00BD2594"/>
    <w:rsid w:val="00BE1228"/>
    <w:rsid w:val="00BE6191"/>
    <w:rsid w:val="00BF2B92"/>
    <w:rsid w:val="00C03BAF"/>
    <w:rsid w:val="00C07913"/>
    <w:rsid w:val="00C355E6"/>
    <w:rsid w:val="00C40BEB"/>
    <w:rsid w:val="00C53F92"/>
    <w:rsid w:val="00C54FD6"/>
    <w:rsid w:val="00C62290"/>
    <w:rsid w:val="00C85D30"/>
    <w:rsid w:val="00CA154F"/>
    <w:rsid w:val="00CA6FAD"/>
    <w:rsid w:val="00CB3941"/>
    <w:rsid w:val="00CB5AED"/>
    <w:rsid w:val="00CB702A"/>
    <w:rsid w:val="00CB791B"/>
    <w:rsid w:val="00CD5537"/>
    <w:rsid w:val="00CE15AF"/>
    <w:rsid w:val="00D03656"/>
    <w:rsid w:val="00D0547E"/>
    <w:rsid w:val="00D1268A"/>
    <w:rsid w:val="00D13FE4"/>
    <w:rsid w:val="00D1622C"/>
    <w:rsid w:val="00D17EE6"/>
    <w:rsid w:val="00D3189C"/>
    <w:rsid w:val="00D339B9"/>
    <w:rsid w:val="00D60657"/>
    <w:rsid w:val="00D77A2F"/>
    <w:rsid w:val="00D803AC"/>
    <w:rsid w:val="00D87718"/>
    <w:rsid w:val="00D91B81"/>
    <w:rsid w:val="00D92E54"/>
    <w:rsid w:val="00D92F2E"/>
    <w:rsid w:val="00DA44E2"/>
    <w:rsid w:val="00DA4651"/>
    <w:rsid w:val="00DB05D1"/>
    <w:rsid w:val="00DB0FC4"/>
    <w:rsid w:val="00DD27EF"/>
    <w:rsid w:val="00DD5276"/>
    <w:rsid w:val="00DE0B37"/>
    <w:rsid w:val="00DE42DC"/>
    <w:rsid w:val="00DE7FC7"/>
    <w:rsid w:val="00DF1697"/>
    <w:rsid w:val="00E006BE"/>
    <w:rsid w:val="00E06DEB"/>
    <w:rsid w:val="00E21942"/>
    <w:rsid w:val="00E21E9B"/>
    <w:rsid w:val="00E22330"/>
    <w:rsid w:val="00E240DD"/>
    <w:rsid w:val="00E36C9E"/>
    <w:rsid w:val="00E52092"/>
    <w:rsid w:val="00E62368"/>
    <w:rsid w:val="00E660F9"/>
    <w:rsid w:val="00E7181B"/>
    <w:rsid w:val="00E72906"/>
    <w:rsid w:val="00E73445"/>
    <w:rsid w:val="00E82000"/>
    <w:rsid w:val="00E8331B"/>
    <w:rsid w:val="00E83C62"/>
    <w:rsid w:val="00E847E1"/>
    <w:rsid w:val="00E87CFB"/>
    <w:rsid w:val="00E95017"/>
    <w:rsid w:val="00E96913"/>
    <w:rsid w:val="00EA2718"/>
    <w:rsid w:val="00EA5BD2"/>
    <w:rsid w:val="00EB2FEF"/>
    <w:rsid w:val="00EB4EE9"/>
    <w:rsid w:val="00ED40D2"/>
    <w:rsid w:val="00ED61EE"/>
    <w:rsid w:val="00ED7249"/>
    <w:rsid w:val="00EE2FCB"/>
    <w:rsid w:val="00EF143C"/>
    <w:rsid w:val="00F0119D"/>
    <w:rsid w:val="00F06410"/>
    <w:rsid w:val="00F127EF"/>
    <w:rsid w:val="00F16D4A"/>
    <w:rsid w:val="00F205CD"/>
    <w:rsid w:val="00F22467"/>
    <w:rsid w:val="00F300B0"/>
    <w:rsid w:val="00F30A2E"/>
    <w:rsid w:val="00F348CD"/>
    <w:rsid w:val="00F42A44"/>
    <w:rsid w:val="00F43594"/>
    <w:rsid w:val="00F44031"/>
    <w:rsid w:val="00F539A2"/>
    <w:rsid w:val="00F600BE"/>
    <w:rsid w:val="00F65124"/>
    <w:rsid w:val="00F71D13"/>
    <w:rsid w:val="00F74CB2"/>
    <w:rsid w:val="00F92ECE"/>
    <w:rsid w:val="00F964D3"/>
    <w:rsid w:val="00FC5675"/>
    <w:rsid w:val="00FD4C4E"/>
    <w:rsid w:val="00FD76EF"/>
    <w:rsid w:val="00FE17FD"/>
    <w:rsid w:val="00FE19E7"/>
    <w:rsid w:val="00FE7B55"/>
    <w:rsid w:val="00FF4442"/>
    <w:rsid w:val="05F2F5FE"/>
    <w:rsid w:val="065F4BB8"/>
    <w:rsid w:val="09EFB7A2"/>
    <w:rsid w:val="0E6A4D40"/>
    <w:rsid w:val="0EACD5B9"/>
    <w:rsid w:val="13EBFE23"/>
    <w:rsid w:val="160D062E"/>
    <w:rsid w:val="1BC155E2"/>
    <w:rsid w:val="1DD92EDD"/>
    <w:rsid w:val="213CBF0C"/>
    <w:rsid w:val="2196402C"/>
    <w:rsid w:val="21EC79F4"/>
    <w:rsid w:val="23AE8FDB"/>
    <w:rsid w:val="25D5E126"/>
    <w:rsid w:val="26D8F9FE"/>
    <w:rsid w:val="2823BA89"/>
    <w:rsid w:val="2B526E90"/>
    <w:rsid w:val="2BCF5C3B"/>
    <w:rsid w:val="308CE62E"/>
    <w:rsid w:val="34FEDFA7"/>
    <w:rsid w:val="369F593A"/>
    <w:rsid w:val="374C9155"/>
    <w:rsid w:val="375BD748"/>
    <w:rsid w:val="383814D8"/>
    <w:rsid w:val="38B4911A"/>
    <w:rsid w:val="3B008945"/>
    <w:rsid w:val="3BA2837A"/>
    <w:rsid w:val="3C53924A"/>
    <w:rsid w:val="3F5437B4"/>
    <w:rsid w:val="41641B85"/>
    <w:rsid w:val="4959E5F3"/>
    <w:rsid w:val="4BE621DD"/>
    <w:rsid w:val="4CCE9515"/>
    <w:rsid w:val="50F06A75"/>
    <w:rsid w:val="524D17EB"/>
    <w:rsid w:val="5305EDC2"/>
    <w:rsid w:val="53BD2348"/>
    <w:rsid w:val="546A92CD"/>
    <w:rsid w:val="5898401E"/>
    <w:rsid w:val="5DA99854"/>
    <w:rsid w:val="663B0077"/>
    <w:rsid w:val="70C8D37E"/>
    <w:rsid w:val="7433E11C"/>
    <w:rsid w:val="7871484E"/>
    <w:rsid w:val="79BE70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2934EEC3"/>
  <w15:docId w15:val="{6C03D76B-DA03-406D-A78D-61B9D3E78C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color w:val="11204C"/>
        <w:lang w:val="fr-FR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  <w:spacing w:line="260" w:lineRule="atLeast"/>
    </w:pPr>
    <w:rPr>
      <w:lang w:eastAsia="en-US"/>
    </w:r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line="276" w:lineRule="auto"/>
      <w:ind w:left="708"/>
      <w:outlineLvl w:val="0"/>
    </w:pPr>
    <w:rPr>
      <w:rFonts w:eastAsia="MS Gothic"/>
      <w:b/>
      <w:bCs/>
      <w:color w:val="17153B"/>
      <w:sz w:val="28"/>
      <w:szCs w:val="28"/>
      <w:lang w:val="en-US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200" w:line="276" w:lineRule="auto"/>
      <w:ind w:left="708"/>
      <w:outlineLvl w:val="1"/>
    </w:pPr>
    <w:rPr>
      <w:rFonts w:eastAsia="MS Gothic"/>
      <w:b/>
      <w:bCs/>
      <w:color w:val="201C50"/>
      <w:sz w:val="26"/>
      <w:szCs w:val="26"/>
      <w:lang w:val="en-US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00" w:line="276" w:lineRule="auto"/>
      <w:ind w:left="708"/>
      <w:outlineLvl w:val="2"/>
    </w:pPr>
    <w:rPr>
      <w:rFonts w:eastAsia="MS Gothic"/>
      <w:b/>
      <w:bCs/>
      <w:color w:val="201C50"/>
      <w:szCs w:val="22"/>
      <w:lang w:val="en-US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Encabezado">
    <w:name w:val="header"/>
    <w:basedOn w:val="Normal"/>
    <w:pPr>
      <w:spacing w:line="240" w:lineRule="auto"/>
    </w:pPr>
    <w:rPr>
      <w:rFonts w:ascii="Century Gothic" w:hAnsi="Century Gothic"/>
      <w:color w:val="auto"/>
      <w:sz w:val="28"/>
    </w:rPr>
  </w:style>
  <w:style w:type="paragraph" w:styleId="Piedepgina">
    <w:name w:val="footer"/>
    <w:basedOn w:val="Normal"/>
    <w:pPr>
      <w:tabs>
        <w:tab w:val="center" w:pos="4536"/>
        <w:tab w:val="right" w:pos="9072"/>
      </w:tabs>
      <w:spacing w:line="240" w:lineRule="auto"/>
    </w:pPr>
  </w:style>
  <w:style w:type="paragraph" w:customStyle="1" w:styleId="EdenredDate">
    <w:name w:val="Edenred Date"/>
    <w:basedOn w:val="Encabezado"/>
    <w:pPr>
      <w:jc w:val="right"/>
    </w:pPr>
    <w:rPr>
      <w:sz w:val="20"/>
    </w:rPr>
  </w:style>
  <w:style w:type="paragraph" w:customStyle="1" w:styleId="EdenredTitle">
    <w:name w:val="Edenred Title"/>
    <w:basedOn w:val="Text"/>
    <w:rPr>
      <w:color w:val="162056"/>
      <w:sz w:val="40"/>
      <w:szCs w:val="40"/>
    </w:rPr>
  </w:style>
  <w:style w:type="paragraph" w:customStyle="1" w:styleId="Edenredsubtitle">
    <w:name w:val="Edenred subtitle"/>
    <w:basedOn w:val="Normal"/>
    <w:pPr>
      <w:spacing w:line="254" w:lineRule="auto"/>
      <w:jc w:val="both"/>
    </w:pPr>
    <w:rPr>
      <w:rFonts w:ascii="Century Gothic" w:hAnsi="Century Gothic"/>
      <w:color w:val="003591"/>
      <w:sz w:val="30"/>
      <w:szCs w:val="30"/>
      <w:lang w:val="en-US"/>
    </w:rPr>
  </w:style>
  <w:style w:type="paragraph" w:customStyle="1" w:styleId="Text">
    <w:name w:val="Text"/>
    <w:basedOn w:val="Normal"/>
    <w:pPr>
      <w:spacing w:line="254" w:lineRule="auto"/>
      <w:jc w:val="both"/>
    </w:pPr>
    <w:rPr>
      <w:rFonts w:ascii="Century Gothic" w:hAnsi="Century Gothic"/>
      <w:color w:val="auto"/>
      <w:lang w:val="en-US"/>
    </w:rPr>
  </w:style>
  <w:style w:type="character" w:customStyle="1" w:styleId="PiedepginaCar">
    <w:name w:val="Pie de página Car"/>
    <w:basedOn w:val="Fuentedeprrafopredeter"/>
    <w:rPr>
      <w:rFonts w:ascii="Arial" w:hAnsi="Arial"/>
      <w:color w:val="11204C"/>
      <w:lang w:eastAsia="en-US"/>
    </w:rPr>
  </w:style>
  <w:style w:type="paragraph" w:styleId="Textodeglobo">
    <w:name w:val="Balloon Text"/>
    <w:basedOn w:val="Normal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rPr>
      <w:rFonts w:ascii="Tahoma" w:hAnsi="Tahoma" w:cs="Tahoma"/>
      <w:color w:val="11204C"/>
      <w:sz w:val="16"/>
      <w:szCs w:val="16"/>
      <w:lang w:eastAsia="en-US"/>
    </w:rPr>
  </w:style>
  <w:style w:type="paragraph" w:customStyle="1" w:styleId="Page">
    <w:name w:val="Page"/>
    <w:basedOn w:val="Normal"/>
    <w:pPr>
      <w:jc w:val="right"/>
    </w:pPr>
    <w:rPr>
      <w:sz w:val="16"/>
    </w:rPr>
  </w:style>
  <w:style w:type="character" w:customStyle="1" w:styleId="TextCar">
    <w:name w:val="Text Car"/>
    <w:rPr>
      <w:rFonts w:ascii="Century Gothic" w:hAnsi="Century Gothic" w:cs="Arial"/>
      <w:lang w:val="en-US" w:eastAsia="en-US"/>
    </w:rPr>
  </w:style>
  <w:style w:type="paragraph" w:styleId="Textonotapie">
    <w:name w:val="footnote text"/>
    <w:basedOn w:val="Normal"/>
    <w:pPr>
      <w:spacing w:line="240" w:lineRule="auto"/>
    </w:pPr>
    <w:rPr>
      <w:rFonts w:ascii="Century Gothic" w:hAnsi="Century Gothic"/>
      <w:color w:val="auto"/>
      <w:sz w:val="14"/>
    </w:rPr>
  </w:style>
  <w:style w:type="character" w:customStyle="1" w:styleId="TextonotapieCar">
    <w:name w:val="Texto nota pie Car"/>
    <w:rPr>
      <w:rFonts w:ascii="Century Gothic" w:hAnsi="Century Gothic"/>
      <w:sz w:val="14"/>
      <w:lang w:eastAsia="en-US"/>
    </w:rPr>
  </w:style>
  <w:style w:type="character" w:styleId="Refdenotaalpie">
    <w:name w:val="footnote reference"/>
    <w:rPr>
      <w:position w:val="0"/>
      <w:vertAlign w:val="superscript"/>
    </w:rPr>
  </w:style>
  <w:style w:type="character" w:customStyle="1" w:styleId="Ttulo1Car">
    <w:name w:val="Título 1 Car"/>
    <w:rPr>
      <w:rFonts w:ascii="Arial" w:eastAsia="MS Gothic" w:hAnsi="Arial"/>
      <w:b/>
      <w:bCs/>
      <w:color w:val="17153B"/>
      <w:sz w:val="28"/>
      <w:szCs w:val="28"/>
      <w:lang w:val="en-US" w:eastAsia="en-US"/>
    </w:rPr>
  </w:style>
  <w:style w:type="character" w:customStyle="1" w:styleId="Ttulo2Car">
    <w:name w:val="Título 2 Car"/>
    <w:rPr>
      <w:rFonts w:ascii="Arial" w:eastAsia="MS Gothic" w:hAnsi="Arial"/>
      <w:b/>
      <w:bCs/>
      <w:color w:val="201C50"/>
      <w:sz w:val="26"/>
      <w:szCs w:val="26"/>
      <w:lang w:val="en-US" w:eastAsia="en-US"/>
    </w:rPr>
  </w:style>
  <w:style w:type="character" w:customStyle="1" w:styleId="Ttulo3Car">
    <w:name w:val="Título 3 Car"/>
    <w:rPr>
      <w:rFonts w:ascii="Arial" w:eastAsia="MS Gothic" w:hAnsi="Arial"/>
      <w:b/>
      <w:bCs/>
      <w:color w:val="201C50"/>
      <w:szCs w:val="22"/>
      <w:lang w:val="en-US" w:eastAsia="en-US"/>
    </w:rPr>
  </w:style>
  <w:style w:type="paragraph" w:customStyle="1" w:styleId="Title1">
    <w:name w:val="Title 1"/>
    <w:basedOn w:val="Normal"/>
    <w:pPr>
      <w:spacing w:line="254" w:lineRule="auto"/>
      <w:jc w:val="both"/>
    </w:pPr>
    <w:rPr>
      <w:rFonts w:ascii="Century Gothic" w:hAnsi="Century Gothic"/>
      <w:b/>
      <w:color w:val="003591"/>
      <w:sz w:val="28"/>
      <w:szCs w:val="28"/>
      <w:lang w:val="en-US" w:eastAsia="fr-FR"/>
    </w:rPr>
  </w:style>
  <w:style w:type="character" w:customStyle="1" w:styleId="Title1Car">
    <w:name w:val="Title 1 Car"/>
    <w:rPr>
      <w:rFonts w:ascii="Century Gothic" w:hAnsi="Century Gothic" w:cs="Arial"/>
      <w:b/>
      <w:color w:val="003591"/>
      <w:sz w:val="28"/>
      <w:szCs w:val="28"/>
      <w:lang w:val="en-US"/>
    </w:rPr>
  </w:style>
  <w:style w:type="paragraph" w:customStyle="1" w:styleId="Title2">
    <w:name w:val="Title 2"/>
    <w:basedOn w:val="Normal"/>
    <w:next w:val="Normal"/>
    <w:pPr>
      <w:spacing w:line="276" w:lineRule="auto"/>
      <w:jc w:val="both"/>
    </w:pPr>
    <w:rPr>
      <w:rFonts w:ascii="Century Gothic" w:hAnsi="Century Gothic"/>
      <w:b/>
      <w:color w:val="003591"/>
      <w:sz w:val="24"/>
      <w:szCs w:val="24"/>
      <w:lang w:val="en-US"/>
    </w:rPr>
  </w:style>
  <w:style w:type="character" w:customStyle="1" w:styleId="Title2Car">
    <w:name w:val="Title 2 Car"/>
    <w:rPr>
      <w:rFonts w:ascii="Century Gothic" w:hAnsi="Century Gothic" w:cs="Arial"/>
      <w:b/>
      <w:color w:val="003591"/>
      <w:sz w:val="24"/>
      <w:szCs w:val="24"/>
      <w:lang w:val="en-US" w:eastAsia="en-US"/>
    </w:rPr>
  </w:style>
  <w:style w:type="paragraph" w:customStyle="1" w:styleId="BulletLead-in1">
    <w:name w:val="Bullet Lead-in 1"/>
    <w:basedOn w:val="Normal"/>
    <w:pPr>
      <w:spacing w:line="254" w:lineRule="auto"/>
      <w:contextualSpacing/>
      <w:jc w:val="both"/>
    </w:pPr>
    <w:rPr>
      <w:rFonts w:ascii="Century Gothic" w:hAnsi="Century Gothic"/>
      <w:b/>
      <w:color w:val="auto"/>
      <w:lang w:val="en-US"/>
    </w:rPr>
  </w:style>
  <w:style w:type="character" w:customStyle="1" w:styleId="BulletLead-in1Car">
    <w:name w:val="Bullet Lead-in 1 Car"/>
    <w:rPr>
      <w:rFonts w:ascii="Century Gothic" w:hAnsi="Century Gothic" w:cs="Arial"/>
      <w:b/>
      <w:lang w:val="en-US" w:eastAsia="en-US"/>
    </w:rPr>
  </w:style>
  <w:style w:type="paragraph" w:customStyle="1" w:styleId="BulletLead-in2">
    <w:name w:val="Bullet Lead-in 2"/>
    <w:basedOn w:val="Normal"/>
    <w:pPr>
      <w:numPr>
        <w:numId w:val="1"/>
      </w:numPr>
    </w:pPr>
    <w:rPr>
      <w:rFonts w:ascii="Century Gothic" w:hAnsi="Century Gothic"/>
      <w:color w:val="auto"/>
    </w:rPr>
  </w:style>
  <w:style w:type="character" w:customStyle="1" w:styleId="BulletLead-in2Car">
    <w:name w:val="Bullet Lead-in 2 Car"/>
    <w:rPr>
      <w:rFonts w:ascii="Century Gothic" w:hAnsi="Century Gothic"/>
      <w:lang w:eastAsia="en-US"/>
    </w:rPr>
  </w:style>
  <w:style w:type="paragraph" w:styleId="TtuloTDC">
    <w:name w:val="TOC Heading"/>
    <w:basedOn w:val="Ttulo1"/>
    <w:next w:val="Normal"/>
    <w:rPr>
      <w:lang w:eastAsia="fr-FR"/>
    </w:rPr>
  </w:style>
  <w:style w:type="paragraph" w:styleId="Textoindependiente">
    <w:name w:val="Body Text"/>
    <w:basedOn w:val="Normal"/>
    <w:pPr>
      <w:spacing w:after="120" w:line="276" w:lineRule="auto"/>
      <w:ind w:left="708"/>
    </w:pPr>
    <w:rPr>
      <w:color w:val="002060"/>
      <w:szCs w:val="22"/>
      <w:lang w:val="en-US"/>
    </w:rPr>
  </w:style>
  <w:style w:type="character" w:customStyle="1" w:styleId="TextoindependienteCar">
    <w:name w:val="Texto independiente Car"/>
    <w:rPr>
      <w:rFonts w:ascii="Arial" w:eastAsia="Arial" w:hAnsi="Arial"/>
      <w:color w:val="002060"/>
      <w:szCs w:val="22"/>
      <w:lang w:val="en-US" w:eastAsia="en-US"/>
    </w:rPr>
  </w:style>
  <w:style w:type="character" w:customStyle="1" w:styleId="EncabezadoCar">
    <w:name w:val="Encabezado Car"/>
    <w:rPr>
      <w:rFonts w:ascii="Century Gothic" w:hAnsi="Century Gothic"/>
      <w:sz w:val="28"/>
      <w:lang w:eastAsia="en-US"/>
    </w:rPr>
  </w:style>
  <w:style w:type="character" w:styleId="Hipervnculo">
    <w:name w:val="Hyperlink"/>
    <w:rPr>
      <w:color w:val="55517B"/>
    </w:rPr>
  </w:style>
  <w:style w:type="paragraph" w:styleId="Textonotaalfinal">
    <w:name w:val="endnote text"/>
    <w:basedOn w:val="Normal"/>
    <w:pPr>
      <w:spacing w:line="240" w:lineRule="auto"/>
      <w:ind w:left="708"/>
    </w:pPr>
    <w:rPr>
      <w:color w:val="002060"/>
      <w:lang w:val="en-US"/>
    </w:rPr>
  </w:style>
  <w:style w:type="character" w:customStyle="1" w:styleId="TextonotaalfinalCar">
    <w:name w:val="Texto nota al final Car"/>
    <w:rPr>
      <w:rFonts w:ascii="Arial" w:eastAsia="Arial" w:hAnsi="Arial"/>
      <w:color w:val="002060"/>
      <w:lang w:val="en-US" w:eastAsia="en-US"/>
    </w:rPr>
  </w:style>
  <w:style w:type="character" w:styleId="Refdenotaalfinal">
    <w:name w:val="endnote reference"/>
    <w:rPr>
      <w:position w:val="0"/>
      <w:vertAlign w:val="superscript"/>
    </w:rPr>
  </w:style>
  <w:style w:type="character" w:styleId="Refdecomentario">
    <w:name w:val="annotation reference"/>
    <w:rPr>
      <w:sz w:val="16"/>
      <w:szCs w:val="16"/>
    </w:rPr>
  </w:style>
  <w:style w:type="paragraph" w:styleId="Textocomentario">
    <w:name w:val="annotation text"/>
    <w:basedOn w:val="Normal"/>
    <w:pPr>
      <w:spacing w:after="200" w:line="240" w:lineRule="auto"/>
      <w:ind w:left="708"/>
    </w:pPr>
    <w:rPr>
      <w:color w:val="002060"/>
      <w:lang w:val="en-US"/>
    </w:rPr>
  </w:style>
  <w:style w:type="character" w:customStyle="1" w:styleId="TextocomentarioCar">
    <w:name w:val="Texto comentario Car"/>
    <w:rPr>
      <w:rFonts w:ascii="Arial" w:eastAsia="Arial" w:hAnsi="Arial"/>
      <w:color w:val="002060"/>
      <w:lang w:val="en-US" w:eastAsia="en-US"/>
    </w:rPr>
  </w:style>
  <w:style w:type="paragraph" w:styleId="Asuntodelcomentario">
    <w:name w:val="annotation subject"/>
    <w:basedOn w:val="Textocomentario"/>
    <w:next w:val="Textocomentario"/>
    <w:rPr>
      <w:b/>
      <w:bCs/>
    </w:rPr>
  </w:style>
  <w:style w:type="character" w:customStyle="1" w:styleId="AsuntodelcomentarioCar">
    <w:name w:val="Asunto del comentario Car"/>
    <w:rPr>
      <w:rFonts w:ascii="Arial" w:eastAsia="Arial" w:hAnsi="Arial"/>
      <w:b/>
      <w:bCs/>
      <w:color w:val="002060"/>
      <w:lang w:val="en-US" w:eastAsia="en-US"/>
    </w:rPr>
  </w:style>
  <w:style w:type="paragraph" w:styleId="Revisin">
    <w:name w:val="Revision"/>
    <w:pPr>
      <w:suppressAutoHyphens/>
    </w:pPr>
    <w:rPr>
      <w:color w:val="002060"/>
      <w:szCs w:val="22"/>
      <w:lang w:val="en-US" w:eastAsia="en-US"/>
    </w:rPr>
  </w:style>
  <w:style w:type="character" w:styleId="Hipervnculovisitado">
    <w:name w:val="FollowedHyperlink"/>
    <w:rPr>
      <w:color w:val="0F004E"/>
      <w:u w:val="single"/>
    </w:rPr>
  </w:style>
  <w:style w:type="paragraph" w:customStyle="1" w:styleId="Tablecaptiontext">
    <w:name w:val="Table caption text"/>
    <w:basedOn w:val="Normal"/>
    <w:pPr>
      <w:spacing w:line="260" w:lineRule="exact"/>
      <w:ind w:right="113"/>
    </w:pPr>
    <w:rPr>
      <w:rFonts w:ascii="Century Gothic" w:hAnsi="Century Gothic"/>
      <w:color w:val="auto"/>
      <w:sz w:val="16"/>
      <w:lang w:val="en-GB" w:eastAsia="fr-FR"/>
    </w:rPr>
  </w:style>
  <w:style w:type="paragraph" w:customStyle="1" w:styleId="Tablecolumntitle">
    <w:name w:val="Table column title"/>
    <w:basedOn w:val="Normal"/>
    <w:pPr>
      <w:spacing w:line="260" w:lineRule="exact"/>
      <w:ind w:left="113" w:right="113"/>
      <w:jc w:val="right"/>
    </w:pPr>
    <w:rPr>
      <w:rFonts w:ascii="Century Gothic" w:hAnsi="Century Gothic"/>
      <w:color w:val="auto"/>
      <w:sz w:val="16"/>
      <w:lang w:val="en-GB" w:eastAsia="fr-FR"/>
    </w:rPr>
  </w:style>
  <w:style w:type="character" w:customStyle="1" w:styleId="BoilerPlateChar">
    <w:name w:val="Boiler Plate Char"/>
    <w:rPr>
      <w:rFonts w:ascii="Century Gothic" w:eastAsia="Calibri" w:hAnsi="Century Gothic" w:cs="Calibri"/>
      <w:sz w:val="16"/>
      <w:szCs w:val="14"/>
      <w:lang w:val="en-US" w:eastAsia="en-US"/>
    </w:rPr>
  </w:style>
  <w:style w:type="paragraph" w:customStyle="1" w:styleId="BoilerPlate">
    <w:name w:val="Boiler Plate"/>
    <w:basedOn w:val="Normal"/>
    <w:pPr>
      <w:spacing w:line="254" w:lineRule="auto"/>
      <w:jc w:val="both"/>
    </w:pPr>
    <w:rPr>
      <w:rFonts w:ascii="Century Gothic" w:eastAsia="Calibri" w:hAnsi="Century Gothic" w:cs="Calibri"/>
      <w:color w:val="auto"/>
      <w:sz w:val="16"/>
      <w:szCs w:val="14"/>
      <w:lang w:val="en-US"/>
    </w:rPr>
  </w:style>
  <w:style w:type="paragraph" w:customStyle="1" w:styleId="Pagefooter">
    <w:name w:val="Page footer"/>
    <w:basedOn w:val="Normal"/>
    <w:pPr>
      <w:spacing w:line="200" w:lineRule="exact"/>
      <w:ind w:right="-199"/>
      <w:jc w:val="right"/>
    </w:pPr>
    <w:rPr>
      <w:color w:val="D52B1E"/>
      <w:sz w:val="12"/>
      <w:lang w:eastAsia="fr-FR"/>
    </w:rPr>
  </w:style>
  <w:style w:type="paragraph" w:customStyle="1" w:styleId="Title3">
    <w:name w:val="Title 3"/>
    <w:basedOn w:val="Normal"/>
    <w:pPr>
      <w:spacing w:line="254" w:lineRule="auto"/>
    </w:pPr>
    <w:rPr>
      <w:rFonts w:ascii="Century Gothic" w:hAnsi="Century Gothic"/>
      <w:b/>
      <w:color w:val="003591"/>
      <w:lang w:val="en-US"/>
    </w:rPr>
  </w:style>
  <w:style w:type="character" w:customStyle="1" w:styleId="Title3Car">
    <w:name w:val="Title 3 Car"/>
    <w:basedOn w:val="Fuentedeprrafopredeter"/>
    <w:rPr>
      <w:rFonts w:ascii="Century Gothic" w:hAnsi="Century Gothic" w:cs="Arial"/>
      <w:b/>
      <w:color w:val="003591"/>
      <w:lang w:val="en-US" w:eastAsia="en-US"/>
    </w:rPr>
  </w:style>
  <w:style w:type="paragraph" w:customStyle="1" w:styleId="Lead-in">
    <w:name w:val="Lead-in"/>
    <w:basedOn w:val="Text"/>
  </w:style>
  <w:style w:type="character" w:customStyle="1" w:styleId="Lead-inCar">
    <w:name w:val="Lead-in Car"/>
    <w:basedOn w:val="TextCar"/>
    <w:rPr>
      <w:rFonts w:ascii="Century Gothic" w:hAnsi="Century Gothic" w:cs="Arial"/>
      <w:lang w:val="en-US" w:eastAsia="en-US"/>
    </w:rPr>
  </w:style>
  <w:style w:type="paragraph" w:customStyle="1" w:styleId="BoxBullet1">
    <w:name w:val="Box Bullet 1"/>
    <w:pPr>
      <w:numPr>
        <w:numId w:val="2"/>
      </w:numPr>
      <w:suppressAutoHyphens/>
    </w:pPr>
    <w:rPr>
      <w:rFonts w:ascii="Century Gothic" w:hAnsi="Century Gothic"/>
      <w:b/>
      <w:color w:val="003591"/>
      <w:lang w:val="en-US"/>
    </w:rPr>
  </w:style>
  <w:style w:type="paragraph" w:styleId="Prrafodelista">
    <w:name w:val="List Paragraph"/>
    <w:basedOn w:val="Normal"/>
    <w:pPr>
      <w:ind w:left="720"/>
      <w:contextualSpacing/>
    </w:pPr>
  </w:style>
  <w:style w:type="paragraph" w:customStyle="1" w:styleId="BoxBullet2">
    <w:name w:val="Box Bullet 2"/>
    <w:pPr>
      <w:tabs>
        <w:tab w:val="num" w:pos="720"/>
      </w:tabs>
      <w:suppressAutoHyphens/>
      <w:ind w:left="720" w:hanging="720"/>
    </w:pPr>
    <w:rPr>
      <w:rFonts w:ascii="Century Gothic" w:hAnsi="Century Gothic"/>
      <w:lang w:eastAsia="en-US"/>
    </w:rPr>
  </w:style>
  <w:style w:type="character" w:customStyle="1" w:styleId="PrrafodelistaCar">
    <w:name w:val="Párrafo de lista Car"/>
    <w:rPr>
      <w:rFonts w:ascii="Arial" w:hAnsi="Arial"/>
      <w:color w:val="11204C"/>
      <w:lang w:eastAsia="en-US"/>
    </w:rPr>
  </w:style>
  <w:style w:type="paragraph" w:styleId="NormalWeb">
    <w:name w:val="Normal (Web)"/>
    <w:basedOn w:val="Normal"/>
    <w:uiPriority w:val="99"/>
    <w:pPr>
      <w:spacing w:line="240" w:lineRule="auto"/>
    </w:pPr>
    <w:rPr>
      <w:rFonts w:ascii="Calibri" w:eastAsia="Century Gothic" w:hAnsi="Calibri" w:cs="Calibri"/>
      <w:color w:val="auto"/>
      <w:sz w:val="22"/>
      <w:szCs w:val="22"/>
      <w:lang w:val="en-US" w:eastAsia="fr-FR"/>
    </w:rPr>
  </w:style>
  <w:style w:type="paragraph" w:customStyle="1" w:styleId="paragraph">
    <w:name w:val="paragraph"/>
    <w:basedOn w:val="Normal"/>
    <w:pPr>
      <w:spacing w:before="100" w:after="100" w:line="240" w:lineRule="auto"/>
    </w:pPr>
    <w:rPr>
      <w:rFonts w:ascii="Times New Roman" w:hAnsi="Times New Roman"/>
      <w:color w:val="auto"/>
      <w:sz w:val="24"/>
      <w:szCs w:val="24"/>
      <w:lang w:eastAsia="fr-FR"/>
    </w:rPr>
  </w:style>
  <w:style w:type="character" w:customStyle="1" w:styleId="normaltextrun">
    <w:name w:val="normaltextrun"/>
    <w:basedOn w:val="Fuentedeprrafopredeter"/>
  </w:style>
  <w:style w:type="character" w:customStyle="1" w:styleId="eop">
    <w:name w:val="eop"/>
    <w:basedOn w:val="Fuentedeprrafopredeter"/>
  </w:style>
  <w:style w:type="character" w:styleId="Mencinsinresolver">
    <w:name w:val="Unresolved Mention"/>
    <w:basedOn w:val="Fuentedeprrafopredeter"/>
    <w:rPr>
      <w:color w:val="605E5C"/>
      <w:shd w:val="clear" w:color="auto" w:fill="E1DFDD"/>
    </w:rPr>
  </w:style>
  <w:style w:type="numbering" w:customStyle="1" w:styleId="LFO10">
    <w:name w:val="LFO10"/>
    <w:basedOn w:val="Sinlista"/>
  </w:style>
  <w:style w:type="numbering" w:customStyle="1" w:styleId="LFO19">
    <w:name w:val="LFO19"/>
    <w:basedOn w:val="Sinlista"/>
  </w:style>
  <w:style w:type="numbering" w:customStyle="1" w:styleId="LFO20">
    <w:name w:val="LFO20"/>
    <w:basedOn w:val="Sinlista"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anormal"/>
    <w:tblPr>
      <w:tblStyleRowBandSize w:val="1"/>
      <w:tblStyleColBandSize w:val="1"/>
      <w:tblInd w:w="0" w:type="nil"/>
      <w:tblCellMar>
        <w:left w:w="10" w:type="dxa"/>
        <w:right w:w="10" w:type="dxa"/>
      </w:tblCellMar>
    </w:tblPr>
  </w:style>
  <w:style w:type="table" w:customStyle="1" w:styleId="TableNormal1">
    <w:name w:val="Table Normal1"/>
    <w:rsid w:val="007A4627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Fuerte">
    <w:name w:val="Strong"/>
    <w:basedOn w:val="Fuentedeprrafopredeter"/>
    <w:uiPriority w:val="22"/>
    <w:qFormat/>
    <w:rsid w:val="00352B2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743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4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3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50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63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25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16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2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36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53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63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equipo.edenred@newlink-group.com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alejandro.delgadosanchez@edenred.com" TargetMode="Externa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lA4bHXuFG8ZK1f8jUvsxeC2OwKQ==">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83E9E377-345F-4939-92A3-1C3ED797E6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937</Words>
  <Characters>5155</Characters>
  <Application>Microsoft Office Word</Application>
  <DocSecurity>0</DocSecurity>
  <Lines>42</Lines>
  <Paragraphs>12</Paragraphs>
  <ScaleCrop>false</ScaleCrop>
  <Company/>
  <LinksUpToDate>false</LinksUpToDate>
  <CharactersWithSpaces>6080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COURTOIS Cécile</dc:creator>
  <cp:keywords/>
  <cp:lastModifiedBy>Sara García Molina</cp:lastModifiedBy>
  <cp:revision>2</cp:revision>
  <dcterms:created xsi:type="dcterms:W3CDTF">2026-05-06T10:34:00Z</dcterms:created>
  <dcterms:modified xsi:type="dcterms:W3CDTF">2026-05-06T10:34:00Z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0x010100C507B8DFC332A440B799D44257F07BA7</vt:lpwstr>
  </property>
  <property fmtid="{D5CDD505-2E9C-101B-9397-08002B2CF9AE}" pid="3" name="GrammarlyDocumentId">
    <vt:lpwstr>797d063b200a87c27582bd0be5c9c9e5374e71033a601ec6e631990873192edf</vt:lpwstr>
  </property>
</Properties>
</file>