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63F1" w14:textId="26030313" w:rsidR="0034131E" w:rsidRPr="00833D4F" w:rsidRDefault="00054F03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right" w:pos="8504"/>
        </w:tabs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CF9CF7E" wp14:editId="1F513E53">
            <wp:simplePos x="0" y="0"/>
            <wp:positionH relativeFrom="column">
              <wp:posOffset>-19431</wp:posOffset>
            </wp:positionH>
            <wp:positionV relativeFrom="paragraph">
              <wp:posOffset>-343840</wp:posOffset>
            </wp:positionV>
            <wp:extent cx="1345997" cy="833933"/>
            <wp:effectExtent l="0" t="0" r="6985" b="4445"/>
            <wp:wrapNone/>
            <wp:docPr id="82793767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7242" cy="834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0F9" w:rsidRPr="00833D4F">
        <w:rPr>
          <w:rFonts w:ascii="Century Gothic" w:eastAsia="Century Gothic" w:hAnsi="Century Gothic" w:cs="Century Gothic"/>
          <w:b/>
          <w:color w:val="000000"/>
          <w:sz w:val="28"/>
          <w:szCs w:val="28"/>
          <w:lang w:val="es-ES"/>
        </w:rPr>
        <w:t>Nota de prensa</w:t>
      </w:r>
    </w:p>
    <w:p w14:paraId="2721C22F" w14:textId="6E54ED60" w:rsidR="0034131E" w:rsidRPr="00833D4F" w:rsidRDefault="0088228D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>2</w:t>
      </w:r>
      <w:r w:rsidR="00203447"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>5</w:t>
      </w:r>
      <w:r w:rsidR="00F71D13"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 xml:space="preserve"> </w:t>
      </w:r>
      <w:r w:rsidR="00E660F9" w:rsidRPr="00833D4F"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 xml:space="preserve">de </w:t>
      </w:r>
      <w:r w:rsidR="007C7B55"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>febrero</w:t>
      </w:r>
      <w:r w:rsidR="00E660F9" w:rsidRPr="00833D4F"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 xml:space="preserve"> de 202</w:t>
      </w:r>
      <w:r w:rsidR="00316012"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>6</w:t>
      </w:r>
    </w:p>
    <w:p w14:paraId="5523504D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709" w:hanging="709"/>
        <w:jc w:val="center"/>
        <w:rPr>
          <w:rFonts w:ascii="Century Gothic" w:eastAsia="Century Gothic" w:hAnsi="Century Gothic" w:cs="Century Gothic"/>
          <w:color w:val="162056"/>
          <w:sz w:val="48"/>
          <w:szCs w:val="48"/>
          <w:lang w:val="es-ES"/>
        </w:rPr>
      </w:pPr>
    </w:p>
    <w:p w14:paraId="5EB22A07" w14:textId="4BF45E5F" w:rsidR="00CB5AED" w:rsidRPr="00CB5AED" w:rsidRDefault="00CB5AED" w:rsidP="00B127EA">
      <w:pPr>
        <w:pStyle w:val="BulletLead-in2"/>
        <w:numPr>
          <w:ilvl w:val="0"/>
          <w:numId w:val="0"/>
        </w:numPr>
        <w:jc w:val="center"/>
        <w:rPr>
          <w:rFonts w:cs="Century Gothic"/>
          <w:b/>
          <w:bCs/>
          <w:color w:val="000000" w:themeColor="text1"/>
          <w:sz w:val="32"/>
          <w:szCs w:val="32"/>
          <w:lang w:val="es-ES"/>
        </w:rPr>
      </w:pPr>
      <w:r w:rsidRPr="00CB5AED">
        <w:rPr>
          <w:rFonts w:cs="Century Gothic"/>
          <w:b/>
          <w:bCs/>
          <w:color w:val="000000" w:themeColor="text1"/>
          <w:sz w:val="32"/>
          <w:szCs w:val="32"/>
          <w:lang w:val="es-ES"/>
        </w:rPr>
        <w:t>Resultados Edenred 2025</w:t>
      </w:r>
    </w:p>
    <w:p w14:paraId="42A082B9" w14:textId="7F8C6A16" w:rsidR="009D71F7" w:rsidRDefault="003242B0" w:rsidP="00B127EA">
      <w:pPr>
        <w:pStyle w:val="BulletLead-in2"/>
        <w:numPr>
          <w:ilvl w:val="0"/>
          <w:numId w:val="0"/>
        </w:numPr>
        <w:jc w:val="center"/>
        <w:rPr>
          <w:rFonts w:cs="Century Gothic"/>
          <w:color w:val="000000" w:themeColor="text1"/>
          <w:sz w:val="44"/>
          <w:szCs w:val="44"/>
          <w:lang w:val="es-ES"/>
        </w:rPr>
      </w:pPr>
      <w:r w:rsidRPr="003242B0">
        <w:rPr>
          <w:rFonts w:cs="Century Gothic"/>
          <w:color w:val="000000" w:themeColor="text1"/>
          <w:sz w:val="44"/>
          <w:szCs w:val="44"/>
          <w:lang w:val="es-ES"/>
        </w:rPr>
        <w:t xml:space="preserve">Edenred </w:t>
      </w:r>
      <w:r w:rsidR="0033161C">
        <w:rPr>
          <w:rFonts w:cs="Century Gothic"/>
          <w:color w:val="000000" w:themeColor="text1"/>
          <w:sz w:val="44"/>
          <w:szCs w:val="44"/>
          <w:lang w:val="es-ES"/>
        </w:rPr>
        <w:t xml:space="preserve">logra un beneficio neto récord de </w:t>
      </w:r>
      <w:r w:rsidR="0033161C" w:rsidRPr="0033161C">
        <w:rPr>
          <w:rFonts w:cs="Century Gothic"/>
          <w:color w:val="000000" w:themeColor="text1"/>
          <w:sz w:val="44"/>
          <w:szCs w:val="44"/>
          <w:lang w:val="es-ES"/>
        </w:rPr>
        <w:t>521 millones de euros</w:t>
      </w:r>
      <w:r w:rsidR="0033161C">
        <w:rPr>
          <w:rFonts w:cs="Century Gothic"/>
          <w:color w:val="000000" w:themeColor="text1"/>
          <w:sz w:val="44"/>
          <w:szCs w:val="44"/>
          <w:lang w:val="es-ES"/>
        </w:rPr>
        <w:t xml:space="preserve"> en 2025</w:t>
      </w:r>
    </w:p>
    <w:p w14:paraId="6D2565DF" w14:textId="77777777" w:rsidR="00CB702A" w:rsidRPr="009D71F7" w:rsidRDefault="00CB702A" w:rsidP="000B15B7">
      <w:pPr>
        <w:pStyle w:val="BulletLead-in2"/>
        <w:numPr>
          <w:ilvl w:val="0"/>
          <w:numId w:val="0"/>
        </w:numPr>
        <w:jc w:val="both"/>
        <w:rPr>
          <w:b/>
          <w:bCs/>
          <w:lang w:val="es-ES"/>
        </w:rPr>
      </w:pPr>
    </w:p>
    <w:p w14:paraId="0DC83B4E" w14:textId="77777777" w:rsidR="00E96913" w:rsidRDefault="00504A98" w:rsidP="00E96913">
      <w:pPr>
        <w:pStyle w:val="BulletLead-in2"/>
        <w:ind w:left="360"/>
        <w:jc w:val="both"/>
        <w:rPr>
          <w:rFonts w:cs="Century Gothic"/>
          <w:b/>
          <w:bCs/>
          <w:lang w:val="es-ES"/>
        </w:rPr>
      </w:pPr>
      <w:r w:rsidRPr="00504A98">
        <w:rPr>
          <w:rFonts w:cs="Century Gothic"/>
          <w:b/>
          <w:bCs/>
          <w:lang w:val="es-ES"/>
        </w:rPr>
        <w:t>La compañía alcanza unos ingresos de 3.000 millones de euros y acelera su crecimiento en el último trimestre, con un avance del 9,7 %</w:t>
      </w:r>
    </w:p>
    <w:p w14:paraId="3ECC8CB9" w14:textId="77777777" w:rsidR="00E96913" w:rsidRDefault="00E96913" w:rsidP="00E96913">
      <w:pPr>
        <w:pStyle w:val="BulletLead-in2"/>
        <w:numPr>
          <w:ilvl w:val="0"/>
          <w:numId w:val="0"/>
        </w:numPr>
        <w:ind w:left="360"/>
        <w:jc w:val="both"/>
        <w:rPr>
          <w:rFonts w:cs="Century Gothic"/>
          <w:b/>
          <w:bCs/>
          <w:lang w:val="es-ES"/>
        </w:rPr>
      </w:pPr>
    </w:p>
    <w:p w14:paraId="3BF03CBE" w14:textId="1C9EA90E" w:rsidR="00E96913" w:rsidRPr="00E96913" w:rsidRDefault="00E96913" w:rsidP="00E96913">
      <w:pPr>
        <w:pStyle w:val="BulletLead-in2"/>
        <w:ind w:left="360"/>
        <w:jc w:val="both"/>
        <w:rPr>
          <w:rFonts w:cs="Century Gothic"/>
          <w:b/>
          <w:bCs/>
          <w:lang w:val="es-ES"/>
        </w:rPr>
      </w:pPr>
      <w:r w:rsidRPr="00E96913">
        <w:rPr>
          <w:b/>
          <w:bCs/>
          <w:lang w:val="es-ES" w:eastAsia="es-ES"/>
        </w:rPr>
        <w:t xml:space="preserve">Edenred incrementa la retribución al accionista y entra en 2026 con bases sólidas para ejecutar su plan estratégico </w:t>
      </w:r>
      <w:proofErr w:type="spellStart"/>
      <w:r w:rsidRPr="00E96913">
        <w:rPr>
          <w:b/>
          <w:bCs/>
          <w:lang w:val="es-ES" w:eastAsia="es-ES"/>
        </w:rPr>
        <w:t>Amplify</w:t>
      </w:r>
      <w:proofErr w:type="spellEnd"/>
      <w:r w:rsidRPr="00E96913">
        <w:rPr>
          <w:b/>
          <w:bCs/>
          <w:lang w:val="es-ES" w:eastAsia="es-ES"/>
        </w:rPr>
        <w:t xml:space="preserve"> 25-28.</w:t>
      </w:r>
    </w:p>
    <w:p w14:paraId="12F1DA17" w14:textId="6E6BB44A" w:rsidR="000B15B7" w:rsidRPr="00BC6530" w:rsidRDefault="000B15B7" w:rsidP="00504A98">
      <w:pPr>
        <w:pStyle w:val="BulletLead-in2"/>
        <w:numPr>
          <w:ilvl w:val="0"/>
          <w:numId w:val="0"/>
        </w:numPr>
        <w:jc w:val="both"/>
        <w:rPr>
          <w:rFonts w:cs="Century Gothic"/>
          <w:b/>
          <w:bCs/>
          <w:lang w:val="es-ES"/>
        </w:rPr>
      </w:pPr>
    </w:p>
    <w:p w14:paraId="6D851E7D" w14:textId="77777777" w:rsidR="00E06DEB" w:rsidRDefault="00E06DEB" w:rsidP="00E06DEB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</w:p>
    <w:p w14:paraId="0B135AE9" w14:textId="77777777" w:rsidR="00E06DEB" w:rsidRDefault="003242B0" w:rsidP="00766BAF">
      <w:pPr>
        <w:pStyle w:val="Prrafodelista"/>
        <w:numPr>
          <w:ilvl w:val="0"/>
          <w:numId w:val="12"/>
        </w:numPr>
        <w:ind w:left="360"/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E06DEB">
        <w:rPr>
          <w:rFonts w:ascii="Century Gothic" w:eastAsia="Century Gothic" w:hAnsi="Century Gothic" w:cs="Century Gothic"/>
          <w:b/>
          <w:bCs/>
          <w:color w:val="auto"/>
          <w:lang w:val="es-ES"/>
        </w:rPr>
        <w:t>Crecimiento orgánico del EBITDA del 11,2 % en 2025</w:t>
      </w:r>
      <w:r w:rsidRPr="00E06DEB">
        <w:rPr>
          <w:rFonts w:ascii="Century Gothic" w:eastAsia="Century Gothic" w:hAnsi="Century Gothic" w:cs="Century Gothic"/>
          <w:color w:val="auto"/>
          <w:lang w:val="es-ES"/>
        </w:rPr>
        <w:t xml:space="preserve"> (frente a un objetivo superior al 10 %)</w:t>
      </w:r>
    </w:p>
    <w:p w14:paraId="21D9B2DE" w14:textId="77777777" w:rsidR="00E06DEB" w:rsidRPr="00E06DEB" w:rsidRDefault="00E06DEB" w:rsidP="00766BAF">
      <w:pPr>
        <w:pStyle w:val="Prrafodelista"/>
        <w:ind w:left="36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060DFB52" w14:textId="211FD390" w:rsidR="003242B0" w:rsidRPr="00E06DEB" w:rsidRDefault="003242B0" w:rsidP="00766BAF">
      <w:pPr>
        <w:pStyle w:val="Prrafodelista"/>
        <w:numPr>
          <w:ilvl w:val="0"/>
          <w:numId w:val="12"/>
        </w:numPr>
        <w:ind w:left="360"/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E06DEB">
        <w:rPr>
          <w:rFonts w:ascii="Century Gothic" w:eastAsia="Century Gothic" w:hAnsi="Century Gothic" w:cs="Century Gothic"/>
          <w:b/>
          <w:bCs/>
          <w:color w:val="auto"/>
          <w:lang w:val="es-ES"/>
        </w:rPr>
        <w:t>Tasa de conversión de flujo de caja libre/EBITDA del 82 %</w:t>
      </w:r>
      <w:r w:rsidR="006F503B">
        <w:rPr>
          <w:rStyle w:val="Refdenotaalpie"/>
          <w:rFonts w:ascii="Century Gothic" w:eastAsia="Century Gothic" w:hAnsi="Century Gothic" w:cs="Century Gothic"/>
          <w:b/>
          <w:bCs/>
          <w:color w:val="auto"/>
          <w:lang w:val="es-ES"/>
        </w:rPr>
        <w:footnoteReference w:id="1"/>
      </w:r>
      <w:r w:rsidRPr="00E06DEB">
        <w:rPr>
          <w:rFonts w:ascii="Century Gothic" w:eastAsia="Century Gothic" w:hAnsi="Century Gothic" w:cs="Century Gothic"/>
          <w:color w:val="auto"/>
          <w:lang w:val="es-ES"/>
        </w:rPr>
        <w:t xml:space="preserve"> (frente a un objetivo superior al 70 %)</w:t>
      </w:r>
    </w:p>
    <w:p w14:paraId="6350D278" w14:textId="77777777" w:rsidR="00025F0A" w:rsidRPr="003242B0" w:rsidRDefault="00025F0A" w:rsidP="00025F0A">
      <w:pPr>
        <w:ind w:left="36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616F3242" w14:textId="77777777" w:rsidR="003242B0" w:rsidRPr="00A367C9" w:rsidRDefault="003242B0" w:rsidP="003242B0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3242B0">
        <w:rPr>
          <w:rFonts w:ascii="Century Gothic" w:eastAsia="Century Gothic" w:hAnsi="Century Gothic" w:cs="Century Gothic"/>
          <w:b/>
          <w:bCs/>
          <w:color w:val="auto"/>
          <w:lang w:val="es-ES"/>
        </w:rPr>
        <w:t>Edenred registra un sólido desempeño comercial y operativo y presenta resultados récord en 2025:</w:t>
      </w:r>
    </w:p>
    <w:p w14:paraId="61EB57C1" w14:textId="77777777" w:rsidR="00025F0A" w:rsidRPr="003242B0" w:rsidRDefault="00025F0A" w:rsidP="003242B0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01E7F408" w14:textId="66BABA4C" w:rsidR="003242B0" w:rsidRPr="00E06DEB" w:rsidRDefault="003242B0" w:rsidP="00766BAF">
      <w:pPr>
        <w:pStyle w:val="Prrafodelista"/>
        <w:numPr>
          <w:ilvl w:val="0"/>
          <w:numId w:val="12"/>
        </w:numPr>
        <w:ind w:left="360"/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E06DEB">
        <w:rPr>
          <w:rFonts w:ascii="Century Gothic" w:eastAsia="Century Gothic" w:hAnsi="Century Gothic" w:cs="Century Gothic"/>
          <w:b/>
          <w:bCs/>
          <w:color w:val="auto"/>
          <w:lang w:val="es-ES"/>
        </w:rPr>
        <w:t>Ingresos totales de 3.000 millones de euros</w:t>
      </w:r>
      <w:r w:rsidRPr="00E06DEB">
        <w:rPr>
          <w:rFonts w:ascii="Century Gothic" w:eastAsia="Century Gothic" w:hAnsi="Century Gothic" w:cs="Century Gothic"/>
          <w:color w:val="auto"/>
          <w:lang w:val="es-ES"/>
        </w:rPr>
        <w:t>, un 5,7 % más en términos comparables y un 3,7 % más en cifras reportadas frente a 2024:</w:t>
      </w:r>
    </w:p>
    <w:p w14:paraId="3941C3EC" w14:textId="77777777" w:rsidR="00025F0A" w:rsidRPr="003242B0" w:rsidRDefault="00025F0A" w:rsidP="00766BAF">
      <w:pPr>
        <w:ind w:left="36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3A899985" w14:textId="77777777" w:rsidR="003242B0" w:rsidRPr="003242B0" w:rsidRDefault="003242B0" w:rsidP="00766BAF">
      <w:pPr>
        <w:numPr>
          <w:ilvl w:val="1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3242B0">
        <w:rPr>
          <w:rFonts w:ascii="Century Gothic" w:eastAsia="Century Gothic" w:hAnsi="Century Gothic" w:cs="Century Gothic"/>
          <w:b/>
          <w:bCs/>
          <w:color w:val="auto"/>
          <w:lang w:val="es-ES"/>
        </w:rPr>
        <w:t>Ingresos operativos de 2.732 millones de euros</w:t>
      </w:r>
      <w:r w:rsidRPr="003242B0">
        <w:rPr>
          <w:rFonts w:ascii="Century Gothic" w:eastAsia="Century Gothic" w:hAnsi="Century Gothic" w:cs="Century Gothic"/>
          <w:color w:val="auto"/>
          <w:lang w:val="es-ES"/>
        </w:rPr>
        <w:t>, un 6,2 % más en términos comparables y un 4,7 % más en cifras reportadas, pese al impacto del cambio regulatorio en Italia.</w:t>
      </w:r>
    </w:p>
    <w:p w14:paraId="4BD34927" w14:textId="77777777" w:rsidR="003242B0" w:rsidRPr="003242B0" w:rsidRDefault="003242B0" w:rsidP="00766BAF">
      <w:pPr>
        <w:numPr>
          <w:ilvl w:val="1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3242B0">
        <w:rPr>
          <w:rFonts w:ascii="Century Gothic" w:eastAsia="Century Gothic" w:hAnsi="Century Gothic" w:cs="Century Gothic"/>
          <w:color w:val="auto"/>
          <w:lang w:val="es-ES"/>
        </w:rPr>
        <w:t xml:space="preserve">Aceleración de los ingresos operativos en el cuarto trimestre de 2025, con un </w:t>
      </w:r>
      <w:r w:rsidRPr="003242B0">
        <w:rPr>
          <w:rFonts w:ascii="Century Gothic" w:eastAsia="Century Gothic" w:hAnsi="Century Gothic" w:cs="Century Gothic"/>
          <w:b/>
          <w:bCs/>
          <w:color w:val="auto"/>
          <w:lang w:val="es-ES"/>
        </w:rPr>
        <w:t>crecimiento del 9,7 % en términos comparables frente al cuarto trimestre de 2024</w:t>
      </w:r>
      <w:r w:rsidRPr="003242B0">
        <w:rPr>
          <w:rFonts w:ascii="Century Gothic" w:eastAsia="Century Gothic" w:hAnsi="Century Gothic" w:cs="Century Gothic"/>
          <w:color w:val="auto"/>
          <w:lang w:val="es-ES"/>
        </w:rPr>
        <w:t>, excluyendo el impacto del cambio regulatorio en Italia.</w:t>
      </w:r>
    </w:p>
    <w:p w14:paraId="03AA32BD" w14:textId="77777777" w:rsidR="003242B0" w:rsidRDefault="003242B0" w:rsidP="00766BAF">
      <w:pPr>
        <w:numPr>
          <w:ilvl w:val="1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3242B0">
        <w:rPr>
          <w:rFonts w:ascii="Century Gothic" w:eastAsia="Century Gothic" w:hAnsi="Century Gothic" w:cs="Century Gothic"/>
          <w:color w:val="auto"/>
          <w:lang w:val="es-ES"/>
        </w:rPr>
        <w:t xml:space="preserve">Otros </w:t>
      </w:r>
      <w:r w:rsidRPr="003242B0">
        <w:rPr>
          <w:rFonts w:ascii="Century Gothic" w:eastAsia="Century Gothic" w:hAnsi="Century Gothic" w:cs="Century Gothic"/>
          <w:b/>
          <w:bCs/>
          <w:color w:val="auto"/>
          <w:lang w:val="es-ES"/>
        </w:rPr>
        <w:t>ingresos de 229 millones de euros, un 1,0 % más</w:t>
      </w:r>
      <w:r w:rsidRPr="003242B0">
        <w:rPr>
          <w:rFonts w:ascii="Century Gothic" w:eastAsia="Century Gothic" w:hAnsi="Century Gothic" w:cs="Century Gothic"/>
          <w:color w:val="auto"/>
          <w:lang w:val="es-ES"/>
        </w:rPr>
        <w:t xml:space="preserve"> en términos comparables, impulsados por el aumento del </w:t>
      </w:r>
      <w:proofErr w:type="spellStart"/>
      <w:r w:rsidRPr="003242B0">
        <w:rPr>
          <w:rFonts w:ascii="Century Gothic" w:eastAsia="Century Gothic" w:hAnsi="Century Gothic" w:cs="Century Gothic"/>
          <w:color w:val="auto"/>
          <w:lang w:val="es-ES"/>
        </w:rPr>
        <w:t>float</w:t>
      </w:r>
      <w:proofErr w:type="spellEnd"/>
      <w:r w:rsidRPr="003242B0">
        <w:rPr>
          <w:rFonts w:ascii="Century Gothic" w:eastAsia="Century Gothic" w:hAnsi="Century Gothic" w:cs="Century Gothic"/>
          <w:color w:val="auto"/>
          <w:lang w:val="es-ES"/>
        </w:rPr>
        <w:t>.</w:t>
      </w:r>
    </w:p>
    <w:p w14:paraId="20F16005" w14:textId="77777777" w:rsidR="00025F0A" w:rsidRPr="003242B0" w:rsidRDefault="00025F0A" w:rsidP="00025F0A">
      <w:pPr>
        <w:ind w:left="144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336940C5" w14:textId="48C29CB0" w:rsidR="003242B0" w:rsidRPr="00BC6530" w:rsidRDefault="003242B0" w:rsidP="524D17EB">
      <w:pPr>
        <w:pStyle w:val="Prrafodelista"/>
        <w:numPr>
          <w:ilvl w:val="0"/>
          <w:numId w:val="12"/>
        </w:numPr>
        <w:ind w:left="360"/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BC6530">
        <w:rPr>
          <w:rFonts w:ascii="Century Gothic" w:eastAsia="Century Gothic" w:hAnsi="Century Gothic" w:cs="Century Gothic"/>
          <w:b/>
          <w:bCs/>
          <w:color w:val="auto"/>
          <w:lang w:val="es-ES"/>
        </w:rPr>
        <w:t>EBITDA de 1.360 millones de euros, un 11,2 % más en términos comparables</w:t>
      </w:r>
      <w:r w:rsidRPr="00BC6530">
        <w:rPr>
          <w:rFonts w:ascii="Century Gothic" w:eastAsia="Century Gothic" w:hAnsi="Century Gothic" w:cs="Century Gothic"/>
          <w:color w:val="auto"/>
          <w:lang w:val="es-ES"/>
        </w:rPr>
        <w:t xml:space="preserve"> y </w:t>
      </w:r>
      <w:r w:rsidRPr="00BC6530">
        <w:rPr>
          <w:rFonts w:ascii="Century Gothic" w:eastAsia="Century Gothic" w:hAnsi="Century Gothic" w:cs="Century Gothic"/>
          <w:b/>
          <w:bCs/>
          <w:color w:val="auto"/>
          <w:lang w:val="es-ES"/>
        </w:rPr>
        <w:t>un 7,5 % más en cifras reportadas</w:t>
      </w:r>
      <w:r w:rsidRPr="00BC6530">
        <w:rPr>
          <w:rFonts w:ascii="Century Gothic" w:eastAsia="Century Gothic" w:hAnsi="Century Gothic" w:cs="Century Gothic"/>
          <w:color w:val="auto"/>
          <w:lang w:val="es-ES"/>
        </w:rPr>
        <w:t>, reflejo del efecto combinado del crecimiento de los ingresos y de las primeras eficiencias generadas por el programa “</w:t>
      </w:r>
      <w:proofErr w:type="spellStart"/>
      <w:r w:rsidRPr="00BC6530">
        <w:rPr>
          <w:rFonts w:ascii="Century Gothic" w:eastAsia="Century Gothic" w:hAnsi="Century Gothic" w:cs="Century Gothic"/>
          <w:color w:val="auto"/>
          <w:lang w:val="es-ES"/>
        </w:rPr>
        <w:t>Fit</w:t>
      </w:r>
      <w:proofErr w:type="spellEnd"/>
      <w:r w:rsidRPr="00BC6530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proofErr w:type="spellStart"/>
      <w:r w:rsidRPr="00BC6530">
        <w:rPr>
          <w:rFonts w:ascii="Century Gothic" w:eastAsia="Century Gothic" w:hAnsi="Century Gothic" w:cs="Century Gothic"/>
          <w:color w:val="auto"/>
          <w:lang w:val="es-ES"/>
        </w:rPr>
        <w:t>for</w:t>
      </w:r>
      <w:proofErr w:type="spellEnd"/>
      <w:r w:rsidRPr="00BC6530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proofErr w:type="spellStart"/>
      <w:r w:rsidRPr="00BC6530">
        <w:rPr>
          <w:rFonts w:ascii="Century Gothic" w:eastAsia="Century Gothic" w:hAnsi="Century Gothic" w:cs="Century Gothic"/>
          <w:color w:val="auto"/>
          <w:lang w:val="es-ES"/>
        </w:rPr>
        <w:t>Growth</w:t>
      </w:r>
      <w:proofErr w:type="spellEnd"/>
      <w:r w:rsidRPr="00BC6530">
        <w:rPr>
          <w:rFonts w:ascii="Century Gothic" w:eastAsia="Century Gothic" w:hAnsi="Century Gothic" w:cs="Century Gothic"/>
          <w:color w:val="auto"/>
          <w:lang w:val="es-ES"/>
        </w:rPr>
        <w:t>”:</w:t>
      </w:r>
    </w:p>
    <w:p w14:paraId="1FCA51E9" w14:textId="77777777" w:rsidR="00025F0A" w:rsidRPr="003242B0" w:rsidRDefault="00025F0A" w:rsidP="00766BAF">
      <w:pPr>
        <w:ind w:left="36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67E6A3AD" w14:textId="77777777" w:rsidR="003242B0" w:rsidRPr="003242B0" w:rsidRDefault="003242B0" w:rsidP="00766BAF">
      <w:pPr>
        <w:numPr>
          <w:ilvl w:val="1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3242B0">
        <w:rPr>
          <w:rFonts w:ascii="Century Gothic" w:eastAsia="Century Gothic" w:hAnsi="Century Gothic" w:cs="Century Gothic"/>
          <w:b/>
          <w:bCs/>
          <w:color w:val="auto"/>
          <w:lang w:val="es-ES"/>
        </w:rPr>
        <w:t>Margen EBITDA del 45,9 %, +2,3 puntos</w:t>
      </w:r>
      <w:r w:rsidRPr="003242B0">
        <w:rPr>
          <w:rFonts w:ascii="Century Gothic" w:eastAsia="Century Gothic" w:hAnsi="Century Gothic" w:cs="Century Gothic"/>
          <w:color w:val="auto"/>
          <w:lang w:val="es-ES"/>
        </w:rPr>
        <w:t xml:space="preserve"> en términos comparables.</w:t>
      </w:r>
    </w:p>
    <w:p w14:paraId="16220316" w14:textId="77777777" w:rsidR="003242B0" w:rsidRDefault="003242B0" w:rsidP="00766BAF">
      <w:pPr>
        <w:numPr>
          <w:ilvl w:val="1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3242B0">
        <w:rPr>
          <w:rFonts w:ascii="Century Gothic" w:eastAsia="Century Gothic" w:hAnsi="Century Gothic" w:cs="Century Gothic"/>
          <w:b/>
          <w:bCs/>
          <w:color w:val="auto"/>
          <w:lang w:val="es-ES"/>
        </w:rPr>
        <w:t>EBITDA operativo de 1.131 millones de euros, un 13,7 % más</w:t>
      </w:r>
      <w:r w:rsidRPr="003242B0">
        <w:rPr>
          <w:rFonts w:ascii="Century Gothic" w:eastAsia="Century Gothic" w:hAnsi="Century Gothic" w:cs="Century Gothic"/>
          <w:color w:val="auto"/>
          <w:lang w:val="es-ES"/>
        </w:rPr>
        <w:t xml:space="preserve"> en términos comparables; margen operativo del 41,4 %, +2,8 puntos en términos comparables.</w:t>
      </w:r>
    </w:p>
    <w:p w14:paraId="53412A5A" w14:textId="77777777" w:rsidR="00025F0A" w:rsidRPr="003242B0" w:rsidRDefault="00025F0A" w:rsidP="00025F0A">
      <w:pPr>
        <w:ind w:left="144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31DD114D" w14:textId="77777777" w:rsidR="003242B0" w:rsidRPr="003242B0" w:rsidRDefault="003242B0" w:rsidP="00E06DEB">
      <w:pPr>
        <w:numPr>
          <w:ilvl w:val="0"/>
          <w:numId w:val="13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3242B0">
        <w:rPr>
          <w:rFonts w:ascii="Century Gothic" w:eastAsia="Century Gothic" w:hAnsi="Century Gothic" w:cs="Century Gothic"/>
          <w:color w:val="auto"/>
          <w:lang w:val="es-ES"/>
        </w:rPr>
        <w:t xml:space="preserve">Resultado neto, cuota del Grupo, de </w:t>
      </w:r>
      <w:r w:rsidRPr="003242B0">
        <w:rPr>
          <w:rFonts w:ascii="Century Gothic" w:eastAsia="Century Gothic" w:hAnsi="Century Gothic" w:cs="Century Gothic"/>
          <w:b/>
          <w:bCs/>
          <w:color w:val="auto"/>
          <w:lang w:val="es-ES"/>
        </w:rPr>
        <w:t>521 millones de euros, un 2,8 % más</w:t>
      </w:r>
      <w:r w:rsidRPr="003242B0">
        <w:rPr>
          <w:rFonts w:ascii="Century Gothic" w:eastAsia="Century Gothic" w:hAnsi="Century Gothic" w:cs="Century Gothic"/>
          <w:color w:val="auto"/>
          <w:lang w:val="es-ES"/>
        </w:rPr>
        <w:t>.</w:t>
      </w:r>
    </w:p>
    <w:p w14:paraId="08ED7431" w14:textId="4D9D2FFB" w:rsidR="003242B0" w:rsidRPr="003242B0" w:rsidRDefault="003242B0" w:rsidP="00E06DEB">
      <w:pPr>
        <w:numPr>
          <w:ilvl w:val="0"/>
          <w:numId w:val="13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3242B0">
        <w:rPr>
          <w:rFonts w:ascii="Century Gothic" w:eastAsia="Century Gothic" w:hAnsi="Century Gothic" w:cs="Century Gothic"/>
          <w:color w:val="auto"/>
          <w:lang w:val="es-ES"/>
        </w:rPr>
        <w:lastRenderedPageBreak/>
        <w:t>Beneficio por acción ajustado</w:t>
      </w:r>
      <w:r w:rsidR="00293519" w:rsidRPr="001F687B">
        <w:rPr>
          <w:rStyle w:val="Refdenotaalpie"/>
          <w:rFonts w:ascii="Century Gothic" w:eastAsia="Century Gothic" w:hAnsi="Century Gothic" w:cs="Century Gothic"/>
          <w:b/>
          <w:bCs/>
          <w:color w:val="auto"/>
          <w:lang w:val="es-ES"/>
        </w:rPr>
        <w:footnoteReference w:id="2"/>
      </w:r>
      <w:r w:rsidRPr="003242B0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r w:rsidRPr="003242B0">
        <w:rPr>
          <w:rFonts w:ascii="Century Gothic" w:eastAsia="Century Gothic" w:hAnsi="Century Gothic" w:cs="Century Gothic"/>
          <w:b/>
          <w:bCs/>
          <w:color w:val="auto"/>
          <w:lang w:val="es-ES"/>
        </w:rPr>
        <w:t>récord de 2,59 euros frente a 2,35 euros en 2024,</w:t>
      </w:r>
      <w:r w:rsidRPr="003242B0">
        <w:rPr>
          <w:rFonts w:ascii="Century Gothic" w:eastAsia="Century Gothic" w:hAnsi="Century Gothic" w:cs="Century Gothic"/>
          <w:color w:val="auto"/>
          <w:lang w:val="es-ES"/>
        </w:rPr>
        <w:t xml:space="preserve"> un incremento del 10,0 %.</w:t>
      </w:r>
    </w:p>
    <w:p w14:paraId="188F3EA4" w14:textId="77777777" w:rsidR="003242B0" w:rsidRPr="003242B0" w:rsidRDefault="003242B0" w:rsidP="00E06DEB">
      <w:pPr>
        <w:numPr>
          <w:ilvl w:val="0"/>
          <w:numId w:val="13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3242B0">
        <w:rPr>
          <w:rFonts w:ascii="Century Gothic" w:eastAsia="Century Gothic" w:hAnsi="Century Gothic" w:cs="Century Gothic"/>
          <w:color w:val="auto"/>
          <w:lang w:val="es-ES"/>
        </w:rPr>
        <w:t xml:space="preserve">Flujo de caja libre de </w:t>
      </w:r>
      <w:r w:rsidRPr="003242B0">
        <w:rPr>
          <w:rFonts w:ascii="Century Gothic" w:eastAsia="Century Gothic" w:hAnsi="Century Gothic" w:cs="Century Gothic"/>
          <w:b/>
          <w:bCs/>
          <w:color w:val="auto"/>
          <w:lang w:val="es-ES"/>
        </w:rPr>
        <w:t>1.111 millones de euros, un 34 % más.</w:t>
      </w:r>
    </w:p>
    <w:p w14:paraId="4A62CDF4" w14:textId="396FB55E" w:rsidR="003242B0" w:rsidRDefault="003242B0" w:rsidP="00E06DEB">
      <w:pPr>
        <w:pStyle w:val="Prrafodelista"/>
        <w:numPr>
          <w:ilvl w:val="0"/>
          <w:numId w:val="13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E06DEB">
        <w:rPr>
          <w:rFonts w:ascii="Century Gothic" w:eastAsia="Century Gothic" w:hAnsi="Century Gothic" w:cs="Century Gothic"/>
          <w:color w:val="auto"/>
          <w:lang w:val="es-ES"/>
        </w:rPr>
        <w:t xml:space="preserve">Deuda neta </w:t>
      </w:r>
      <w:r w:rsidRPr="00E06DEB">
        <w:rPr>
          <w:rFonts w:ascii="Century Gothic" w:eastAsia="Century Gothic" w:hAnsi="Century Gothic" w:cs="Century Gothic"/>
          <w:b/>
          <w:bCs/>
          <w:color w:val="auto"/>
          <w:lang w:val="es-ES"/>
        </w:rPr>
        <w:t>reducida en un 31 %</w:t>
      </w:r>
      <w:r w:rsidRPr="00E06DEB">
        <w:rPr>
          <w:rFonts w:ascii="Century Gothic" w:eastAsia="Century Gothic" w:hAnsi="Century Gothic" w:cs="Century Gothic"/>
          <w:color w:val="auto"/>
          <w:lang w:val="es-ES"/>
        </w:rPr>
        <w:t>, situando la ratio deuda neta/EBITDA en 0,9x al cierre de 2025.</w:t>
      </w:r>
    </w:p>
    <w:p w14:paraId="138F8A37" w14:textId="77777777" w:rsidR="00E06DEB" w:rsidRPr="00E06DEB" w:rsidRDefault="00E06DEB" w:rsidP="00E06DEB">
      <w:pPr>
        <w:pStyle w:val="Prrafodelista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4B83E235" w14:textId="77777777" w:rsidR="003242B0" w:rsidRDefault="003242B0" w:rsidP="003242B0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3242B0">
        <w:rPr>
          <w:rFonts w:ascii="Century Gothic" w:eastAsia="Century Gothic" w:hAnsi="Century Gothic" w:cs="Century Gothic"/>
          <w:b/>
          <w:bCs/>
          <w:color w:val="auto"/>
          <w:lang w:val="es-ES"/>
        </w:rPr>
        <w:t>Mayor retribución al accionista</w:t>
      </w:r>
    </w:p>
    <w:p w14:paraId="2B693F8A" w14:textId="77777777" w:rsidR="00025F0A" w:rsidRPr="003242B0" w:rsidRDefault="00025F0A" w:rsidP="003242B0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1D89D98E" w14:textId="77777777" w:rsidR="003242B0" w:rsidRPr="003242B0" w:rsidRDefault="003242B0" w:rsidP="003242B0">
      <w:pPr>
        <w:numPr>
          <w:ilvl w:val="0"/>
          <w:numId w:val="11"/>
        </w:num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3242B0">
        <w:rPr>
          <w:rFonts w:ascii="Century Gothic" w:eastAsia="Century Gothic" w:hAnsi="Century Gothic" w:cs="Century Gothic"/>
          <w:color w:val="auto"/>
          <w:lang w:val="es-ES"/>
        </w:rPr>
        <w:t xml:space="preserve">Edenred recompró acciones propias por valor de </w:t>
      </w:r>
      <w:r w:rsidRPr="003242B0">
        <w:rPr>
          <w:rFonts w:ascii="Century Gothic" w:eastAsia="Century Gothic" w:hAnsi="Century Gothic" w:cs="Century Gothic"/>
          <w:b/>
          <w:bCs/>
          <w:color w:val="auto"/>
          <w:lang w:val="es-ES"/>
        </w:rPr>
        <w:t>125 millones de euros en 2025.</w:t>
      </w:r>
    </w:p>
    <w:p w14:paraId="4C6BEF4E" w14:textId="3ED39AEE" w:rsidR="003242B0" w:rsidRPr="005F1892" w:rsidRDefault="003242B0" w:rsidP="003242B0">
      <w:pPr>
        <w:numPr>
          <w:ilvl w:val="0"/>
          <w:numId w:val="11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3242B0">
        <w:rPr>
          <w:rFonts w:ascii="Century Gothic" w:eastAsia="Century Gothic" w:hAnsi="Century Gothic" w:cs="Century Gothic"/>
          <w:color w:val="auto"/>
          <w:lang w:val="es-ES"/>
        </w:rPr>
        <w:t xml:space="preserve">Edenred propondrá el pago de un dividendo de </w:t>
      </w:r>
      <w:r w:rsidRPr="003242B0">
        <w:rPr>
          <w:rFonts w:ascii="Century Gothic" w:eastAsia="Century Gothic" w:hAnsi="Century Gothic" w:cs="Century Gothic"/>
          <w:b/>
          <w:bCs/>
          <w:color w:val="auto"/>
          <w:lang w:val="es-ES"/>
        </w:rPr>
        <w:t>1,33</w:t>
      </w:r>
      <w:r w:rsidR="00B77553" w:rsidRPr="001F687B">
        <w:rPr>
          <w:rStyle w:val="Refdenotaalpie"/>
          <w:rFonts w:ascii="Century Gothic" w:eastAsia="Century Gothic" w:hAnsi="Century Gothic" w:cs="Century Gothic"/>
          <w:b/>
          <w:bCs/>
          <w:color w:val="auto"/>
          <w:lang w:val="es-ES"/>
        </w:rPr>
        <w:footnoteReference w:id="3"/>
      </w:r>
      <w:r w:rsidRPr="003242B0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euros por acción con cargo a 2025, lo que supone un incremento del 10 %.</w:t>
      </w:r>
    </w:p>
    <w:p w14:paraId="1B81D931" w14:textId="77777777" w:rsidR="005F1892" w:rsidRPr="003242B0" w:rsidRDefault="005F1892" w:rsidP="005F1892">
      <w:pPr>
        <w:ind w:left="72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5BE3AEBB" w14:textId="77777777" w:rsidR="005F1892" w:rsidRDefault="005F1892" w:rsidP="005F1892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5F1892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Sólido desempeño </w:t>
      </w:r>
      <w:proofErr w:type="spellStart"/>
      <w:r w:rsidRPr="005F1892">
        <w:rPr>
          <w:rFonts w:ascii="Century Gothic" w:eastAsia="Century Gothic" w:hAnsi="Century Gothic" w:cs="Century Gothic"/>
          <w:b/>
          <w:bCs/>
          <w:color w:val="auto"/>
          <w:lang w:val="es-ES"/>
        </w:rPr>
        <w:t>extrafinanciero</w:t>
      </w:r>
      <w:proofErr w:type="spellEnd"/>
    </w:p>
    <w:p w14:paraId="4999C4E9" w14:textId="77777777" w:rsidR="005F1892" w:rsidRPr="005F1892" w:rsidRDefault="005F1892" w:rsidP="005F189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48B3316C" w14:textId="77777777" w:rsidR="005F1892" w:rsidRPr="005F1892" w:rsidRDefault="005F1892" w:rsidP="005F1892">
      <w:pPr>
        <w:numPr>
          <w:ilvl w:val="0"/>
          <w:numId w:val="15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5F1892">
        <w:rPr>
          <w:rFonts w:ascii="Century Gothic" w:eastAsia="Century Gothic" w:hAnsi="Century Gothic" w:cs="Century Gothic"/>
          <w:color w:val="auto"/>
          <w:lang w:val="es-ES"/>
        </w:rPr>
        <w:t xml:space="preserve">Nuevo incremento de los indicadores de desempeño </w:t>
      </w:r>
      <w:proofErr w:type="spellStart"/>
      <w:r w:rsidRPr="005F1892">
        <w:rPr>
          <w:rFonts w:ascii="Century Gothic" w:eastAsia="Century Gothic" w:hAnsi="Century Gothic" w:cs="Century Gothic"/>
          <w:color w:val="auto"/>
          <w:lang w:val="es-ES"/>
        </w:rPr>
        <w:t>extrafinanciero</w:t>
      </w:r>
      <w:proofErr w:type="spellEnd"/>
      <w:r w:rsidRPr="005F1892">
        <w:rPr>
          <w:rFonts w:ascii="Century Gothic" w:eastAsia="Century Gothic" w:hAnsi="Century Gothic" w:cs="Century Gothic"/>
          <w:color w:val="auto"/>
          <w:lang w:val="es-ES"/>
        </w:rPr>
        <w:t>.</w:t>
      </w:r>
    </w:p>
    <w:p w14:paraId="1D7BCEE2" w14:textId="77777777" w:rsidR="005F1892" w:rsidRDefault="005F1892" w:rsidP="005F1892">
      <w:pPr>
        <w:numPr>
          <w:ilvl w:val="0"/>
          <w:numId w:val="15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5F1892">
        <w:rPr>
          <w:rFonts w:ascii="Century Gothic" w:eastAsia="Century Gothic" w:hAnsi="Century Gothic" w:cs="Century Gothic"/>
          <w:color w:val="auto"/>
          <w:lang w:val="es-ES"/>
        </w:rPr>
        <w:t xml:space="preserve">Calificaciones ESG líderes en el sector por parte de las principales agencias de rating no financiero, incluyendo una mejora de seis puntos en la calificación de S&amp;P Global y la medalla de Oro de </w:t>
      </w:r>
      <w:proofErr w:type="spellStart"/>
      <w:r w:rsidRPr="005F1892">
        <w:rPr>
          <w:rFonts w:ascii="Century Gothic" w:eastAsia="Century Gothic" w:hAnsi="Century Gothic" w:cs="Century Gothic"/>
          <w:color w:val="auto"/>
          <w:lang w:val="es-ES"/>
        </w:rPr>
        <w:t>EcoVadis</w:t>
      </w:r>
      <w:proofErr w:type="spellEnd"/>
      <w:r w:rsidRPr="005F1892">
        <w:rPr>
          <w:rFonts w:ascii="Century Gothic" w:eastAsia="Century Gothic" w:hAnsi="Century Gothic" w:cs="Century Gothic"/>
          <w:color w:val="auto"/>
          <w:lang w:val="es-ES"/>
        </w:rPr>
        <w:t>, lo que ilustra el firme compromiso de Edenred.</w:t>
      </w:r>
    </w:p>
    <w:p w14:paraId="1F5F2EF1" w14:textId="77777777" w:rsidR="005F1892" w:rsidRPr="005F1892" w:rsidRDefault="005F1892" w:rsidP="005F1892">
      <w:pPr>
        <w:ind w:left="72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31BC74FE" w14:textId="77777777" w:rsidR="005F1892" w:rsidRPr="005F1892" w:rsidRDefault="005F1892" w:rsidP="005F189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5F1892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Edenred inicia 2026 en una posición sólida para ejecutar su plan estratégico </w:t>
      </w:r>
      <w:proofErr w:type="spellStart"/>
      <w:r w:rsidRPr="005F1892">
        <w:rPr>
          <w:rFonts w:ascii="Century Gothic" w:eastAsia="Century Gothic" w:hAnsi="Century Gothic" w:cs="Century Gothic"/>
          <w:b/>
          <w:bCs/>
          <w:color w:val="auto"/>
          <w:lang w:val="es-ES"/>
        </w:rPr>
        <w:t>Amplify</w:t>
      </w:r>
      <w:proofErr w:type="spellEnd"/>
      <w:r w:rsidRPr="005F1892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25-28</w:t>
      </w:r>
    </w:p>
    <w:p w14:paraId="25E0F34A" w14:textId="77777777" w:rsidR="005F1892" w:rsidRDefault="005F1892" w:rsidP="005F1892">
      <w:pPr>
        <w:numPr>
          <w:ilvl w:val="0"/>
          <w:numId w:val="16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5F1892">
        <w:rPr>
          <w:rFonts w:ascii="Century Gothic" w:eastAsia="Century Gothic" w:hAnsi="Century Gothic" w:cs="Century Gothic"/>
          <w:color w:val="auto"/>
          <w:lang w:val="es-ES"/>
        </w:rPr>
        <w:t>Un modelo de crecimiento virtuoso basado en el aumento del número de usuarios, combinado con un mayor ingreso medio por usuario (ARPU).</w:t>
      </w:r>
    </w:p>
    <w:p w14:paraId="49DAE700" w14:textId="77777777" w:rsidR="00A75C6D" w:rsidRPr="005F1892" w:rsidRDefault="00A75C6D" w:rsidP="00A75C6D">
      <w:pPr>
        <w:ind w:left="72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41E22E82" w14:textId="77777777" w:rsidR="005F1892" w:rsidRDefault="005F1892" w:rsidP="005F1892">
      <w:pPr>
        <w:numPr>
          <w:ilvl w:val="0"/>
          <w:numId w:val="16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5F1892">
        <w:rPr>
          <w:rFonts w:ascii="Century Gothic" w:eastAsia="Century Gothic" w:hAnsi="Century Gothic" w:cs="Century Gothic"/>
          <w:color w:val="auto"/>
          <w:lang w:val="es-ES"/>
        </w:rPr>
        <w:t>Tres pilares estratégicos ya desplegados en 2025:</w:t>
      </w:r>
    </w:p>
    <w:p w14:paraId="78942EC2" w14:textId="77777777" w:rsidR="005F1892" w:rsidRPr="005F1892" w:rsidRDefault="005F1892" w:rsidP="005F1892">
      <w:pPr>
        <w:ind w:left="72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1D1EF5CA" w14:textId="77777777" w:rsidR="005F1892" w:rsidRPr="005F1892" w:rsidRDefault="005F1892" w:rsidP="005F1892">
      <w:pPr>
        <w:numPr>
          <w:ilvl w:val="1"/>
          <w:numId w:val="16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proofErr w:type="spellStart"/>
      <w:r w:rsidRPr="005F1892">
        <w:rPr>
          <w:rFonts w:ascii="Century Gothic" w:eastAsia="Century Gothic" w:hAnsi="Century Gothic" w:cs="Century Gothic"/>
          <w:b/>
          <w:bCs/>
          <w:color w:val="auto"/>
          <w:lang w:val="es-ES"/>
        </w:rPr>
        <w:t>Attract</w:t>
      </w:r>
      <w:proofErr w:type="spellEnd"/>
      <w:r w:rsidRPr="005F1892">
        <w:rPr>
          <w:rFonts w:ascii="Century Gothic" w:eastAsia="Century Gothic" w:hAnsi="Century Gothic" w:cs="Century Gothic"/>
          <w:color w:val="auto"/>
          <w:lang w:val="es-ES"/>
        </w:rPr>
        <w:t>, para continuar con una captación eficiente de clientes en mercados amplios, en crecimiento y todavía poco penetrados.</w:t>
      </w:r>
    </w:p>
    <w:p w14:paraId="47C80193" w14:textId="77777777" w:rsidR="005F1892" w:rsidRPr="005F1892" w:rsidRDefault="005F1892" w:rsidP="005F1892">
      <w:pPr>
        <w:numPr>
          <w:ilvl w:val="1"/>
          <w:numId w:val="16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5F1892">
        <w:rPr>
          <w:rFonts w:ascii="Century Gothic" w:eastAsia="Century Gothic" w:hAnsi="Century Gothic" w:cs="Century Gothic"/>
          <w:b/>
          <w:bCs/>
          <w:color w:val="auto"/>
          <w:lang w:val="es-ES"/>
        </w:rPr>
        <w:t>Enrich</w:t>
      </w:r>
      <w:r w:rsidRPr="005F1892">
        <w:rPr>
          <w:rFonts w:ascii="Century Gothic" w:eastAsia="Century Gothic" w:hAnsi="Century Gothic" w:cs="Century Gothic"/>
          <w:color w:val="auto"/>
          <w:lang w:val="es-ES"/>
        </w:rPr>
        <w:t>, para maximizar las oportunidades de venta cruzada y venta incremental, aprovechando la riqueza única de su portfolio de soluciones.</w:t>
      </w:r>
    </w:p>
    <w:p w14:paraId="5EF15146" w14:textId="77777777" w:rsidR="005F1892" w:rsidRDefault="005F1892" w:rsidP="005F1892">
      <w:pPr>
        <w:numPr>
          <w:ilvl w:val="1"/>
          <w:numId w:val="16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proofErr w:type="spellStart"/>
      <w:r w:rsidRPr="005F1892">
        <w:rPr>
          <w:rFonts w:ascii="Century Gothic" w:eastAsia="Century Gothic" w:hAnsi="Century Gothic" w:cs="Century Gothic"/>
          <w:b/>
          <w:bCs/>
          <w:color w:val="auto"/>
          <w:lang w:val="es-ES"/>
        </w:rPr>
        <w:t>Activate</w:t>
      </w:r>
      <w:proofErr w:type="spellEnd"/>
      <w:r w:rsidRPr="005F1892">
        <w:rPr>
          <w:rFonts w:ascii="Century Gothic" w:eastAsia="Century Gothic" w:hAnsi="Century Gothic" w:cs="Century Gothic"/>
          <w:color w:val="auto"/>
          <w:lang w:val="es-ES"/>
        </w:rPr>
        <w:t>, para incrementar el uso de las soluciones y monetizar la audiencia de más de 60 millones de usuarios de su plataforma, especialmente mediante el desarrollo de nuevos servicios para los comercios asociados.</w:t>
      </w:r>
    </w:p>
    <w:p w14:paraId="49306103" w14:textId="77777777" w:rsidR="00A75C6D" w:rsidRPr="005F1892" w:rsidRDefault="00A75C6D" w:rsidP="00A75C6D">
      <w:pPr>
        <w:ind w:left="144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6AC7C158" w14:textId="77777777" w:rsidR="005F1892" w:rsidRDefault="005F1892" w:rsidP="005F189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5F1892">
        <w:rPr>
          <w:rFonts w:ascii="Century Gothic" w:eastAsia="Century Gothic" w:hAnsi="Century Gothic" w:cs="Century Gothic"/>
          <w:b/>
          <w:bCs/>
          <w:color w:val="auto"/>
          <w:lang w:val="es-ES"/>
        </w:rPr>
        <w:t>Objetivos para 2026</w:t>
      </w:r>
      <w:r w:rsidRPr="005F1892">
        <w:rPr>
          <w:rFonts w:ascii="Century Gothic" w:eastAsia="Century Gothic" w:hAnsi="Century Gothic" w:cs="Century Gothic"/>
          <w:color w:val="auto"/>
          <w:lang w:val="es-ES"/>
        </w:rPr>
        <w:t>, que tienen en cuenta el impacto de los cambios regulatorios en Italia y Brasil:</w:t>
      </w:r>
    </w:p>
    <w:p w14:paraId="74091699" w14:textId="77777777" w:rsidR="00A75C6D" w:rsidRPr="005F1892" w:rsidRDefault="00A75C6D" w:rsidP="005F189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0C5141C9" w14:textId="77777777" w:rsidR="005F1892" w:rsidRPr="00004095" w:rsidRDefault="005F1892" w:rsidP="005F1892">
      <w:pPr>
        <w:numPr>
          <w:ilvl w:val="0"/>
          <w:numId w:val="17"/>
        </w:num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5F1892">
        <w:rPr>
          <w:rFonts w:ascii="Century Gothic" w:eastAsia="Century Gothic" w:hAnsi="Century Gothic" w:cs="Century Gothic"/>
          <w:color w:val="auto"/>
          <w:lang w:val="es-ES"/>
        </w:rPr>
        <w:t xml:space="preserve">Edenred confirma una caída del EBITDA de entre el 8 % y el 12 % en términos comparables, lo que corresponde a un </w:t>
      </w:r>
      <w:r w:rsidRPr="005F1892">
        <w:rPr>
          <w:rFonts w:ascii="Century Gothic" w:eastAsia="Century Gothic" w:hAnsi="Century Gothic" w:cs="Century Gothic"/>
          <w:b/>
          <w:bCs/>
          <w:color w:val="auto"/>
          <w:lang w:val="es-ES"/>
        </w:rPr>
        <w:t>crecimiento intrínseco del EBITDA de entre el 8 % y el 12 %, nivel previsto para 2027 y 2028.</w:t>
      </w:r>
    </w:p>
    <w:p w14:paraId="05BDDBAB" w14:textId="77777777" w:rsidR="00A75C6D" w:rsidRPr="005F1892" w:rsidRDefault="00A75C6D" w:rsidP="00A75C6D">
      <w:pPr>
        <w:ind w:left="72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24557664" w14:textId="493A6AFC" w:rsidR="005F1892" w:rsidRPr="005F1892" w:rsidRDefault="005F1892" w:rsidP="005F1892">
      <w:pPr>
        <w:numPr>
          <w:ilvl w:val="0"/>
          <w:numId w:val="17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5F1892">
        <w:rPr>
          <w:rFonts w:ascii="Century Gothic" w:eastAsia="Century Gothic" w:hAnsi="Century Gothic" w:cs="Century Gothic"/>
          <w:color w:val="auto"/>
          <w:lang w:val="es-ES"/>
        </w:rPr>
        <w:t xml:space="preserve">Edenred fija como objetivo una tasa de conversión de flujo de caja libre/EBITDA ≥ 35 %, equivalente a una </w:t>
      </w:r>
      <w:r w:rsidRPr="005F1892">
        <w:rPr>
          <w:rFonts w:ascii="Century Gothic" w:eastAsia="Century Gothic" w:hAnsi="Century Gothic" w:cs="Century Gothic"/>
          <w:b/>
          <w:bCs/>
          <w:color w:val="auto"/>
          <w:lang w:val="es-ES"/>
        </w:rPr>
        <w:t>tasa de conversión intrínseca ≥ 65 %</w:t>
      </w:r>
      <w:r w:rsidR="00713768" w:rsidRPr="00004095">
        <w:rPr>
          <w:rStyle w:val="Refdenotaalpie"/>
          <w:rFonts w:ascii="Century Gothic" w:eastAsia="Century Gothic" w:hAnsi="Century Gothic" w:cs="Century Gothic"/>
          <w:b/>
          <w:bCs/>
          <w:color w:val="auto"/>
          <w:lang w:val="es-ES"/>
        </w:rPr>
        <w:footnoteReference w:id="4"/>
      </w:r>
      <w:r w:rsidRPr="005F1892">
        <w:rPr>
          <w:rFonts w:ascii="Century Gothic" w:eastAsia="Century Gothic" w:hAnsi="Century Gothic" w:cs="Century Gothic"/>
          <w:b/>
          <w:bCs/>
          <w:color w:val="auto"/>
          <w:lang w:val="es-ES"/>
        </w:rPr>
        <w:t>, nivel esperado para 2027 y 2028</w:t>
      </w:r>
      <w:r w:rsidRPr="005F1892">
        <w:rPr>
          <w:rFonts w:ascii="Century Gothic" w:eastAsia="Century Gothic" w:hAnsi="Century Gothic" w:cs="Century Gothic"/>
          <w:color w:val="auto"/>
          <w:lang w:val="es-ES"/>
        </w:rPr>
        <w:t>, lo que confirma la capacidad del Grupo para mantener una sólida generación de caja.</w:t>
      </w:r>
    </w:p>
    <w:p w14:paraId="7DABA0E8" w14:textId="5FA0E49E" w:rsidR="005F1892" w:rsidRPr="005F1892" w:rsidRDefault="005F1892" w:rsidP="005F189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540D73CF" w14:textId="33F45DDD" w:rsidR="005F1892" w:rsidRDefault="005F1892" w:rsidP="005F1892">
      <w:pPr>
        <w:jc w:val="both"/>
        <w:rPr>
          <w:rFonts w:ascii="Century Gothic" w:eastAsia="Century Gothic" w:hAnsi="Century Gothic" w:cs="Century Gothic"/>
          <w:i/>
          <w:iCs/>
          <w:color w:val="auto"/>
          <w:lang w:val="es-ES"/>
        </w:rPr>
      </w:pPr>
      <w:r w:rsidRPr="005F1892">
        <w:rPr>
          <w:rFonts w:ascii="Century Gothic" w:eastAsia="Century Gothic" w:hAnsi="Century Gothic" w:cs="Century Gothic"/>
          <w:b/>
          <w:bCs/>
          <w:color w:val="auto"/>
          <w:lang w:val="es-ES"/>
        </w:rPr>
        <w:lastRenderedPageBreak/>
        <w:t>Bertrand Dumazy, presidente y CEO de Edenred</w:t>
      </w:r>
      <w:r w:rsidRPr="005F1892">
        <w:rPr>
          <w:rFonts w:ascii="Century Gothic" w:eastAsia="Century Gothic" w:hAnsi="Century Gothic" w:cs="Century Gothic"/>
          <w:color w:val="auto"/>
          <w:lang w:val="es-ES"/>
        </w:rPr>
        <w:t xml:space="preserve">, </w:t>
      </w:r>
      <w:r w:rsidR="0037071E">
        <w:rPr>
          <w:rFonts w:ascii="Century Gothic" w:eastAsia="Century Gothic" w:hAnsi="Century Gothic" w:cs="Century Gothic"/>
          <w:color w:val="auto"/>
          <w:lang w:val="es-ES"/>
        </w:rPr>
        <w:t>ha declarado</w:t>
      </w:r>
      <w:r w:rsidRPr="005F1892">
        <w:rPr>
          <w:rFonts w:ascii="Century Gothic" w:eastAsia="Century Gothic" w:hAnsi="Century Gothic" w:cs="Century Gothic"/>
          <w:color w:val="auto"/>
          <w:lang w:val="es-ES"/>
        </w:rPr>
        <w:t>:</w:t>
      </w:r>
      <w:r w:rsidR="0037071E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r w:rsidRPr="005F1892">
        <w:rPr>
          <w:rFonts w:ascii="Century Gothic" w:eastAsia="Century Gothic" w:hAnsi="Century Gothic" w:cs="Century Gothic"/>
          <w:i/>
          <w:iCs/>
          <w:color w:val="auto"/>
          <w:lang w:val="es-ES"/>
        </w:rPr>
        <w:t>“Hemos alcanzado todos nuestros objetivos operativos y financieros en 2025 y hemos vuelto a registrar resultados récord. Quiero agradecer a nuestros 12.000 profesionales su compromiso y determinación constante.</w:t>
      </w:r>
    </w:p>
    <w:p w14:paraId="63F84759" w14:textId="77777777" w:rsidR="0037071E" w:rsidRPr="005F1892" w:rsidRDefault="0037071E" w:rsidP="005F1892">
      <w:pPr>
        <w:jc w:val="both"/>
        <w:rPr>
          <w:rFonts w:ascii="Century Gothic" w:eastAsia="Century Gothic" w:hAnsi="Century Gothic" w:cs="Century Gothic"/>
          <w:i/>
          <w:iCs/>
          <w:color w:val="auto"/>
          <w:lang w:val="es-ES"/>
        </w:rPr>
      </w:pPr>
    </w:p>
    <w:p w14:paraId="2320B434" w14:textId="77777777" w:rsidR="005F1892" w:rsidRDefault="005F1892" w:rsidP="005F1892">
      <w:pPr>
        <w:jc w:val="both"/>
        <w:rPr>
          <w:rFonts w:ascii="Century Gothic" w:eastAsia="Century Gothic" w:hAnsi="Century Gothic" w:cs="Century Gothic"/>
          <w:i/>
          <w:iCs/>
          <w:color w:val="auto"/>
          <w:lang w:val="es-ES"/>
        </w:rPr>
      </w:pPr>
      <w:r w:rsidRPr="005F1892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Estos sólidos resultados demuestran que Edenred evoluciona en mercados estructuralmente prometedores. Seguimos incorporando nuevos clientes, que adoptan tanto nuestras soluciones de beneficios sociales como aquellas orientadas a impulsar el </w:t>
      </w:r>
      <w:proofErr w:type="spellStart"/>
      <w:r w:rsidRPr="005F1892">
        <w:rPr>
          <w:rFonts w:ascii="Century Gothic" w:eastAsia="Century Gothic" w:hAnsi="Century Gothic" w:cs="Century Gothic"/>
          <w:i/>
          <w:iCs/>
          <w:color w:val="auto"/>
          <w:lang w:val="es-ES"/>
        </w:rPr>
        <w:t>engagement</w:t>
      </w:r>
      <w:proofErr w:type="spellEnd"/>
      <w:r w:rsidRPr="005F1892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 en el entorno laboral, así como nuestras ofertas dedicadas a optimizar y simplificar la gestión de flotas corporativas.</w:t>
      </w:r>
    </w:p>
    <w:p w14:paraId="1DDA4D13" w14:textId="77777777" w:rsidR="0037071E" w:rsidRPr="005F1892" w:rsidRDefault="0037071E" w:rsidP="005F1892">
      <w:pPr>
        <w:jc w:val="both"/>
        <w:rPr>
          <w:rFonts w:ascii="Century Gothic" w:eastAsia="Century Gothic" w:hAnsi="Century Gothic" w:cs="Century Gothic"/>
          <w:i/>
          <w:iCs/>
          <w:color w:val="auto"/>
          <w:lang w:val="es-ES"/>
        </w:rPr>
      </w:pPr>
    </w:p>
    <w:p w14:paraId="38ADE6DD" w14:textId="77777777" w:rsidR="005F1892" w:rsidRDefault="005F1892" w:rsidP="005F1892">
      <w:pPr>
        <w:jc w:val="both"/>
        <w:rPr>
          <w:rFonts w:ascii="Century Gothic" w:eastAsia="Century Gothic" w:hAnsi="Century Gothic" w:cs="Century Gothic"/>
          <w:i/>
          <w:iCs/>
          <w:color w:val="auto"/>
          <w:lang w:val="es-ES"/>
        </w:rPr>
      </w:pPr>
      <w:r w:rsidRPr="005F1892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Aunque el tamaño y la diversidad de nuestro portfolio de soluciones nos ayudarán a mitigar el impacto de los cambios regulatorios en curso en Italia y Brasil, estos afectarán a nuestro desempeño en 2026. No obstante, confiamos en nuestra capacidad para retomar rápidamente nuestra trayectoria de crecimiento rentable y sostenible, apoyándonos especialmente en el despliegue de nuestro plan estratégico </w:t>
      </w:r>
      <w:proofErr w:type="spellStart"/>
      <w:r w:rsidRPr="005F1892">
        <w:rPr>
          <w:rFonts w:ascii="Century Gothic" w:eastAsia="Century Gothic" w:hAnsi="Century Gothic" w:cs="Century Gothic"/>
          <w:i/>
          <w:iCs/>
          <w:color w:val="auto"/>
          <w:lang w:val="es-ES"/>
        </w:rPr>
        <w:t>Amplify</w:t>
      </w:r>
      <w:proofErr w:type="spellEnd"/>
      <w:r w:rsidRPr="005F1892">
        <w:rPr>
          <w:rFonts w:ascii="Century Gothic" w:eastAsia="Century Gothic" w:hAnsi="Century Gothic" w:cs="Century Gothic"/>
          <w:i/>
          <w:iCs/>
          <w:color w:val="auto"/>
          <w:lang w:val="es-ES"/>
        </w:rPr>
        <w:t>.</w:t>
      </w:r>
    </w:p>
    <w:p w14:paraId="70FA6CEB" w14:textId="77777777" w:rsidR="0025118D" w:rsidRPr="005F1892" w:rsidRDefault="0025118D" w:rsidP="005F1892">
      <w:pPr>
        <w:jc w:val="both"/>
        <w:rPr>
          <w:rFonts w:ascii="Century Gothic" w:eastAsia="Century Gothic" w:hAnsi="Century Gothic" w:cs="Century Gothic"/>
          <w:i/>
          <w:iCs/>
          <w:color w:val="auto"/>
          <w:lang w:val="es-ES"/>
        </w:rPr>
      </w:pPr>
    </w:p>
    <w:p w14:paraId="027E7A11" w14:textId="77777777" w:rsidR="005F1892" w:rsidRDefault="005F1892" w:rsidP="005F1892">
      <w:pPr>
        <w:jc w:val="both"/>
        <w:rPr>
          <w:rFonts w:ascii="Century Gothic" w:eastAsia="Century Gothic" w:hAnsi="Century Gothic" w:cs="Century Gothic"/>
          <w:i/>
          <w:iCs/>
          <w:color w:val="auto"/>
          <w:lang w:val="es-ES"/>
        </w:rPr>
      </w:pPr>
      <w:r w:rsidRPr="005F1892">
        <w:rPr>
          <w:rFonts w:ascii="Century Gothic" w:eastAsia="Century Gothic" w:hAnsi="Century Gothic" w:cs="Century Gothic"/>
          <w:i/>
          <w:iCs/>
          <w:color w:val="auto"/>
          <w:lang w:val="es-ES"/>
        </w:rPr>
        <w:t>Contamos con una fuerte tracción comercial, la relevancia de nuestros productos y nuestro liderazgo tecnológico para aumentar tanto el número de usuarios como el ingreso medio por usuario.</w:t>
      </w:r>
    </w:p>
    <w:p w14:paraId="4C59F519" w14:textId="77777777" w:rsidR="0025118D" w:rsidRPr="005F1892" w:rsidRDefault="0025118D" w:rsidP="005F1892">
      <w:pPr>
        <w:jc w:val="both"/>
        <w:rPr>
          <w:rFonts w:ascii="Century Gothic" w:eastAsia="Century Gothic" w:hAnsi="Century Gothic" w:cs="Century Gothic"/>
          <w:i/>
          <w:iCs/>
          <w:color w:val="auto"/>
          <w:lang w:val="es-ES"/>
        </w:rPr>
      </w:pPr>
    </w:p>
    <w:p w14:paraId="491D801E" w14:textId="77777777" w:rsidR="005F1892" w:rsidRPr="005F1892" w:rsidRDefault="005F1892" w:rsidP="005F1892">
      <w:pPr>
        <w:jc w:val="both"/>
        <w:rPr>
          <w:rFonts w:ascii="Century Gothic" w:eastAsia="Century Gothic" w:hAnsi="Century Gothic" w:cs="Century Gothic"/>
          <w:i/>
          <w:iCs/>
          <w:color w:val="auto"/>
          <w:lang w:val="es-ES"/>
        </w:rPr>
      </w:pPr>
      <w:r w:rsidRPr="005F1892">
        <w:rPr>
          <w:rFonts w:ascii="Century Gothic" w:eastAsia="Century Gothic" w:hAnsi="Century Gothic" w:cs="Century Gothic"/>
          <w:i/>
          <w:iCs/>
          <w:color w:val="auto"/>
          <w:lang w:val="es-ES"/>
        </w:rPr>
        <w:t>Por último, nuestra sólida posición financiera nos otorga la flexibilidad necesaria para invertir en nuestras propias palancas de crecimiento, especialmente en Data &amp; AI, y aprovechar potenciales oportunidades de adquisición, al tiempo que mantenemos nuestra política de retribución al accionista.”</w:t>
      </w:r>
    </w:p>
    <w:p w14:paraId="72847017" w14:textId="63C8718E" w:rsidR="00F300B0" w:rsidRPr="00F300B0" w:rsidRDefault="00F300B0" w:rsidP="003242B0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2004D732" w14:textId="77777777" w:rsidR="001B6F44" w:rsidRPr="00F300B0" w:rsidRDefault="001B6F44" w:rsidP="00D03656">
      <w:pPr>
        <w:jc w:val="both"/>
        <w:rPr>
          <w:lang w:val="es-ES"/>
        </w:rPr>
      </w:pPr>
    </w:p>
    <w:p w14:paraId="51E74DA8" w14:textId="49D88DA3" w:rsidR="0034131E" w:rsidRPr="00833D4F" w:rsidRDefault="00E660F9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lang w:val="es-ES"/>
        </w:rPr>
        <w:t>▬▬</w:t>
      </w:r>
    </w:p>
    <w:p w14:paraId="319B1527" w14:textId="77777777" w:rsidR="0034131E" w:rsidRPr="00833D4F" w:rsidRDefault="0034131E">
      <w:pPr>
        <w:jc w:val="both"/>
        <w:rPr>
          <w:rFonts w:ascii="Century Gothic" w:eastAsia="Century Gothic" w:hAnsi="Century Gothic" w:cs="Century Gothic"/>
          <w:lang w:val="es-ES"/>
        </w:rPr>
      </w:pPr>
    </w:p>
    <w:p w14:paraId="25873AF5" w14:textId="77777777" w:rsidR="0034131E" w:rsidRPr="00833D4F" w:rsidRDefault="00E660F9">
      <w:pPr>
        <w:jc w:val="both"/>
        <w:rPr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18"/>
          <w:szCs w:val="18"/>
          <w:lang w:val="es-ES"/>
        </w:rPr>
        <w:t>Sobre Edenred</w:t>
      </w:r>
    </w:p>
    <w:p w14:paraId="4FED8EE9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482841BE" w14:textId="7167AB70" w:rsidR="000E5BEA" w:rsidRDefault="000E5BEA" w:rsidP="000E5BE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hAnsi="Century Gothic" w:cs="Century Gothic"/>
          <w:color w:val="000000"/>
          <w:sz w:val="18"/>
          <w:szCs w:val="18"/>
          <w:lang w:val="es-ES"/>
        </w:rPr>
      </w:pPr>
      <w:r w:rsidRPr="000E5BEA">
        <w:rPr>
          <w:rFonts w:ascii="Century Gothic" w:hAnsi="Century Gothic" w:cs="Century Gothic"/>
          <w:b/>
          <w:bCs/>
          <w:color w:val="000000"/>
          <w:sz w:val="18"/>
          <w:szCs w:val="18"/>
          <w:lang w:val="es-ES"/>
        </w:rPr>
        <w:t>Edenred</w:t>
      </w:r>
      <w:r w:rsidRPr="000E5BEA">
        <w:rPr>
          <w:rFonts w:ascii="Century Gothic" w:hAnsi="Century Gothic" w:cs="Century Gothic"/>
          <w:color w:val="000000"/>
          <w:sz w:val="18"/>
          <w:szCs w:val="18"/>
          <w:lang w:val="es-ES"/>
        </w:rPr>
        <w:t xml:space="preserve"> es la </w:t>
      </w:r>
      <w:r w:rsidRPr="000E5BEA">
        <w:rPr>
          <w:rFonts w:ascii="Century Gothic" w:hAnsi="Century Gothic" w:cs="Century Gothic"/>
          <w:bCs/>
          <w:color w:val="000000"/>
          <w:sz w:val="18"/>
          <w:szCs w:val="18"/>
          <w:lang w:val="es-ES"/>
        </w:rPr>
        <w:t xml:space="preserve">plataforma digital </w:t>
      </w:r>
      <w:proofErr w:type="spellStart"/>
      <w:r w:rsidRPr="000E5BEA">
        <w:rPr>
          <w:rFonts w:ascii="Century Gothic" w:hAnsi="Century Gothic" w:cs="Century Gothic"/>
          <w:bCs/>
          <w:color w:val="000000"/>
          <w:sz w:val="18"/>
          <w:szCs w:val="18"/>
          <w:lang w:val="es-ES"/>
        </w:rPr>
        <w:t>multisolución</w:t>
      </w:r>
      <w:proofErr w:type="spellEnd"/>
      <w:r w:rsidRPr="000E5BEA">
        <w:rPr>
          <w:rFonts w:ascii="Century Gothic" w:hAnsi="Century Gothic" w:cs="Century Gothic"/>
          <w:bCs/>
          <w:color w:val="000000"/>
          <w:sz w:val="18"/>
          <w:szCs w:val="18"/>
          <w:lang w:val="es-ES"/>
        </w:rPr>
        <w:t xml:space="preserve"> especializada en beneficios sociales y </w:t>
      </w:r>
      <w:proofErr w:type="spellStart"/>
      <w:r w:rsidRPr="000E5BEA">
        <w:rPr>
          <w:rFonts w:ascii="Century Gothic" w:hAnsi="Century Gothic" w:cs="Century Gothic"/>
          <w:bCs/>
          <w:color w:val="000000"/>
          <w:sz w:val="18"/>
          <w:szCs w:val="18"/>
          <w:lang w:val="es-ES"/>
        </w:rPr>
        <w:t>employee</w:t>
      </w:r>
      <w:proofErr w:type="spellEnd"/>
      <w:r w:rsidRPr="000E5BEA">
        <w:rPr>
          <w:rFonts w:ascii="Century Gothic" w:hAnsi="Century Gothic" w:cs="Century Gothic"/>
          <w:bCs/>
          <w:color w:val="000000"/>
          <w:sz w:val="18"/>
          <w:szCs w:val="18"/>
          <w:lang w:val="es-ES"/>
        </w:rPr>
        <w:t xml:space="preserve"> </w:t>
      </w:r>
      <w:proofErr w:type="spellStart"/>
      <w:r w:rsidRPr="000E5BEA">
        <w:rPr>
          <w:rFonts w:ascii="Century Gothic" w:hAnsi="Century Gothic" w:cs="Century Gothic"/>
          <w:bCs/>
          <w:color w:val="000000"/>
          <w:sz w:val="18"/>
          <w:szCs w:val="18"/>
          <w:lang w:val="es-ES"/>
        </w:rPr>
        <w:t>engagement</w:t>
      </w:r>
      <w:proofErr w:type="spellEnd"/>
      <w:r w:rsidRPr="000E5BEA">
        <w:rPr>
          <w:rFonts w:ascii="Century Gothic" w:hAnsi="Century Gothic" w:cs="Century Gothic"/>
          <w:color w:val="000000"/>
          <w:sz w:val="18"/>
          <w:szCs w:val="18"/>
          <w:lang w:val="es-ES"/>
        </w:rPr>
        <w:t xml:space="preserve"> líder </w:t>
      </w:r>
      <w:r w:rsidR="00B22000" w:rsidRPr="00BC6530">
        <w:rPr>
          <w:rFonts w:ascii="Century Gothic" w:hAnsi="Century Gothic" w:cs="Century Gothic"/>
          <w:color w:val="000000"/>
          <w:sz w:val="18"/>
          <w:szCs w:val="18"/>
          <w:lang w:val="es-ES"/>
        </w:rPr>
        <w:t xml:space="preserve">global en </w:t>
      </w:r>
      <w:proofErr w:type="spellStart"/>
      <w:r w:rsidR="00B22000" w:rsidRPr="00BC6530">
        <w:rPr>
          <w:rFonts w:ascii="Century Gothic" w:hAnsi="Century Gothic" w:cs="Century Gothic"/>
          <w:color w:val="000000"/>
          <w:sz w:val="18"/>
          <w:szCs w:val="18"/>
          <w:lang w:val="es-ES"/>
        </w:rPr>
        <w:t>Benefits</w:t>
      </w:r>
      <w:proofErr w:type="spellEnd"/>
      <w:r w:rsidR="00B22000" w:rsidRPr="00BC6530">
        <w:rPr>
          <w:rFonts w:ascii="Century Gothic" w:hAnsi="Century Gothic" w:cs="Century Gothic"/>
          <w:color w:val="000000"/>
          <w:sz w:val="18"/>
          <w:szCs w:val="18"/>
          <w:lang w:val="es-ES"/>
        </w:rPr>
        <w:t xml:space="preserve"> &amp; </w:t>
      </w:r>
      <w:proofErr w:type="spellStart"/>
      <w:r w:rsidR="00B22000" w:rsidRPr="00BC6530">
        <w:rPr>
          <w:rFonts w:ascii="Century Gothic" w:hAnsi="Century Gothic" w:cs="Century Gothic"/>
          <w:color w:val="000000"/>
          <w:sz w:val="18"/>
          <w:szCs w:val="18"/>
          <w:lang w:val="es-ES"/>
        </w:rPr>
        <w:t>Engagement</w:t>
      </w:r>
      <w:proofErr w:type="spellEnd"/>
      <w:r w:rsidRPr="00BC6530">
        <w:rPr>
          <w:rFonts w:ascii="Century Gothic" w:hAnsi="Century Gothic" w:cs="Century Gothic"/>
          <w:color w:val="000000"/>
          <w:sz w:val="18"/>
          <w:szCs w:val="18"/>
          <w:lang w:val="es-ES"/>
        </w:rPr>
        <w:t xml:space="preserve"> y </w:t>
      </w:r>
      <w:r w:rsidR="00B22000" w:rsidRPr="00BC6530">
        <w:rPr>
          <w:rFonts w:ascii="Century Gothic" w:hAnsi="Century Gothic" w:cs="Century Gothic"/>
          <w:color w:val="000000"/>
          <w:sz w:val="18"/>
          <w:szCs w:val="18"/>
          <w:lang w:val="es-ES"/>
        </w:rPr>
        <w:t>Movilidad</w:t>
      </w:r>
      <w:r w:rsidRPr="00BC6530">
        <w:rPr>
          <w:rFonts w:ascii="Century Gothic" w:hAnsi="Century Gothic" w:cs="Century Gothic"/>
          <w:color w:val="000000"/>
          <w:sz w:val="18"/>
          <w:szCs w:val="18"/>
          <w:lang w:val="es-ES"/>
        </w:rPr>
        <w:t>.</w:t>
      </w:r>
    </w:p>
    <w:p w14:paraId="7F9CEADA" w14:textId="77777777" w:rsidR="000E5BEA" w:rsidRPr="000E5BEA" w:rsidRDefault="000E5BEA" w:rsidP="000E5BE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hAnsi="Century Gothic" w:cs="Century Gothic"/>
          <w:color w:val="000000"/>
          <w:sz w:val="18"/>
          <w:szCs w:val="18"/>
          <w:lang w:val="es-ES"/>
        </w:rPr>
      </w:pPr>
    </w:p>
    <w:p w14:paraId="12A8F790" w14:textId="77777777" w:rsidR="00DD27EF" w:rsidRDefault="00DD27EF" w:rsidP="00DD27EF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Con más de 1 millón de empresas cliente en 44 países, la plataforma de Edenred ofrece a más de 60 millones de usuarios acceso a los servicios y productos de más de 2 millones de comercios asociados.</w:t>
      </w:r>
    </w:p>
    <w:p w14:paraId="1D4A0E0A" w14:textId="77777777" w:rsidR="00DD27EF" w:rsidRPr="00DD27EF" w:rsidRDefault="00DD27EF" w:rsidP="00DD27EF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772E0F60" w14:textId="77777777" w:rsidR="00DD27EF" w:rsidRDefault="00DD27EF" w:rsidP="00DD27EF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Edenred proporciona soluciones digitales dirigidas a profesionales (vales de comida, transporte al trabajo, tarjetas regalo, bienestar, incentivos y ofertas preferentes), a gestores de flotas (soluciones </w:t>
      </w:r>
      <w:proofErr w:type="spellStart"/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multienergía</w:t>
      </w:r>
      <w:proofErr w:type="spellEnd"/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que incluyen recarga de vehículos eléctricos, servicios de mantenimiento, peajes y estacionamiento) y a pagos corporativos (tarjetas virtuales).</w:t>
      </w:r>
    </w:p>
    <w:p w14:paraId="7F49FA9E" w14:textId="77777777" w:rsidR="00DD27EF" w:rsidRPr="00DD27EF" w:rsidRDefault="00DD27EF" w:rsidP="00DD27EF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3D10BB54" w14:textId="77777777" w:rsidR="00DD27EF" w:rsidRDefault="00DD27EF" w:rsidP="00DD27EF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Guiadas por el propósito del Grupo, </w:t>
      </w:r>
      <w:r w:rsidRPr="00DD27EF">
        <w:rPr>
          <w:rFonts w:ascii="Century Gothic" w:eastAsia="Century Gothic" w:hAnsi="Century Gothic" w:cs="Century Gothic"/>
          <w:i/>
          <w:iCs/>
          <w:color w:val="000000"/>
          <w:sz w:val="18"/>
          <w:szCs w:val="18"/>
          <w:lang w:val="es-ES"/>
        </w:rPr>
        <w:t>“</w:t>
      </w:r>
      <w:proofErr w:type="spellStart"/>
      <w:r w:rsidRPr="00DD27EF">
        <w:rPr>
          <w:rFonts w:ascii="Century Gothic" w:eastAsia="Century Gothic" w:hAnsi="Century Gothic" w:cs="Century Gothic"/>
          <w:i/>
          <w:iCs/>
          <w:color w:val="000000"/>
          <w:sz w:val="18"/>
          <w:szCs w:val="18"/>
          <w:lang w:val="es-ES"/>
        </w:rPr>
        <w:t>Enrich</w:t>
      </w:r>
      <w:proofErr w:type="spellEnd"/>
      <w:r w:rsidRPr="00DD27EF">
        <w:rPr>
          <w:rFonts w:ascii="Century Gothic" w:eastAsia="Century Gothic" w:hAnsi="Century Gothic" w:cs="Century Gothic"/>
          <w:i/>
          <w:iCs/>
          <w:color w:val="000000"/>
          <w:sz w:val="18"/>
          <w:szCs w:val="18"/>
          <w:lang w:val="es-ES"/>
        </w:rPr>
        <w:t xml:space="preserve"> </w:t>
      </w:r>
      <w:proofErr w:type="spellStart"/>
      <w:r w:rsidRPr="00DD27EF">
        <w:rPr>
          <w:rFonts w:ascii="Century Gothic" w:eastAsia="Century Gothic" w:hAnsi="Century Gothic" w:cs="Century Gothic"/>
          <w:i/>
          <w:iCs/>
          <w:color w:val="000000"/>
          <w:sz w:val="18"/>
          <w:szCs w:val="18"/>
          <w:lang w:val="es-ES"/>
        </w:rPr>
        <w:t>connections</w:t>
      </w:r>
      <w:proofErr w:type="spellEnd"/>
      <w:r w:rsidRPr="00DD27EF">
        <w:rPr>
          <w:rFonts w:ascii="Century Gothic" w:eastAsia="Century Gothic" w:hAnsi="Century Gothic" w:cs="Century Gothic"/>
          <w:i/>
          <w:iCs/>
          <w:color w:val="000000"/>
          <w:sz w:val="18"/>
          <w:szCs w:val="18"/>
          <w:lang w:val="es-ES"/>
        </w:rPr>
        <w:t xml:space="preserve">. For </w:t>
      </w:r>
      <w:proofErr w:type="spellStart"/>
      <w:r w:rsidRPr="00DD27EF">
        <w:rPr>
          <w:rFonts w:ascii="Century Gothic" w:eastAsia="Century Gothic" w:hAnsi="Century Gothic" w:cs="Century Gothic"/>
          <w:i/>
          <w:iCs/>
          <w:color w:val="000000"/>
          <w:sz w:val="18"/>
          <w:szCs w:val="18"/>
          <w:lang w:val="es-ES"/>
        </w:rPr>
        <w:t>good</w:t>
      </w:r>
      <w:proofErr w:type="spellEnd"/>
      <w:r w:rsidRPr="00DD27EF">
        <w:rPr>
          <w:rFonts w:ascii="Century Gothic" w:eastAsia="Century Gothic" w:hAnsi="Century Gothic" w:cs="Century Gothic"/>
          <w:i/>
          <w:iCs/>
          <w:color w:val="000000"/>
          <w:sz w:val="18"/>
          <w:szCs w:val="18"/>
          <w:lang w:val="es-ES"/>
        </w:rPr>
        <w:t>.”</w:t>
      </w:r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, estas soluciones mejoran el bienestar y el poder adquisitivo de los profesionales y simplifican la vida de los conductores profesionales. Asimismo, fomentan el acceso a una alimentación más saludable, a productos más respetuosos con el medioambiente y a una movilidad más sostenible. Además, contribuyen a mejorar la atractividad y la eficiencia de las empresas, dinamizando al mismo tiempo el mercado laboral y las economías locales.</w:t>
      </w:r>
    </w:p>
    <w:p w14:paraId="7F24F92B" w14:textId="77777777" w:rsidR="00DD27EF" w:rsidRPr="00DD27EF" w:rsidRDefault="00DD27EF" w:rsidP="00DD27EF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45EF5D42" w14:textId="77777777" w:rsidR="00DD27EF" w:rsidRDefault="00DD27EF" w:rsidP="00DD27EF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Los 12.000 profesionales de Edenred trabajan cada día para hacer del mundo laboral un ecosistema más conectado, seguro, eficiente y responsable.</w:t>
      </w:r>
    </w:p>
    <w:p w14:paraId="3C7A0BFB" w14:textId="77777777" w:rsidR="00DD27EF" w:rsidRPr="00DD27EF" w:rsidRDefault="00DD27EF" w:rsidP="00DD27EF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0AD97B5B" w14:textId="77777777" w:rsidR="00DD27EF" w:rsidRDefault="00DD27EF" w:rsidP="00DD27EF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En 2025, gracias a su plataforma tecnológica única, el Grupo generó un volumen de negocio de 49.000 millones de euros, principalmente a través de aplicaciones móviles, plataformas online y tarjetas.</w:t>
      </w:r>
    </w:p>
    <w:p w14:paraId="44F03680" w14:textId="77777777" w:rsidR="00DD27EF" w:rsidRPr="00DD27EF" w:rsidRDefault="00DD27EF" w:rsidP="00DD27EF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545E0562" w14:textId="77777777" w:rsidR="00DD27EF" w:rsidRPr="00DD27EF" w:rsidRDefault="00DD27EF" w:rsidP="00DD27EF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Edenred cotiza en la Bolsa de París (Euronext Paris) y forma parte de los siguientes índices: CAC Next 20, CAC Large 60, Euronext 100, Euronext Tech Leaders, FTSE4Good, DJSI </w:t>
      </w:r>
      <w:proofErr w:type="spellStart"/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Europe</w:t>
      </w:r>
      <w:proofErr w:type="spellEnd"/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</w:t>
      </w:r>
      <w:proofErr w:type="spellStart"/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Index</w:t>
      </w:r>
      <w:proofErr w:type="spellEnd"/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y DJSI </w:t>
      </w:r>
      <w:proofErr w:type="spellStart"/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World</w:t>
      </w:r>
      <w:proofErr w:type="spellEnd"/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</w:t>
      </w:r>
      <w:proofErr w:type="spellStart"/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Index</w:t>
      </w:r>
      <w:proofErr w:type="spellEnd"/>
      <w:r w:rsidRPr="00DD27E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.</w:t>
      </w:r>
    </w:p>
    <w:p w14:paraId="5BF9E4B4" w14:textId="7CB13C50" w:rsidR="0034131E" w:rsidRPr="00833D4F" w:rsidRDefault="0034131E" w:rsidP="000E5BE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1CC7A655" w14:textId="77777777" w:rsidR="0034131E" w:rsidRPr="00833D4F" w:rsidRDefault="00E660F9">
      <w:pPr>
        <w:spacing w:line="240" w:lineRule="auto"/>
        <w:jc w:val="both"/>
        <w:rPr>
          <w:rFonts w:ascii="Century Gothic" w:eastAsia="Century Gothic" w:hAnsi="Century Gothic" w:cs="Century Gothic"/>
          <w:i/>
          <w:color w:val="000000"/>
          <w:sz w:val="16"/>
          <w:szCs w:val="16"/>
          <w:lang w:val="es-ES"/>
        </w:rPr>
      </w:pPr>
      <w:r w:rsidRPr="00833D4F">
        <w:rPr>
          <w:rFonts w:ascii="Century Gothic" w:eastAsia="Century Gothic" w:hAnsi="Century Gothic" w:cs="Century Gothic"/>
          <w:i/>
          <w:color w:val="000000"/>
          <w:sz w:val="16"/>
          <w:szCs w:val="16"/>
          <w:lang w:val="es-ES"/>
        </w:rPr>
        <w:t>Los logotipos y otras marcas mencionadas y destacadas en este comunicado de prensa son marcas registradas de Edenred S.E., sus filiales o terceros. No pueden utilizarse con fines comerciales sin el consentimiento previo por escrito de sus propietarios.</w:t>
      </w:r>
    </w:p>
    <w:p w14:paraId="60992604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6E54591E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b/>
          <w:color w:val="000000"/>
          <w:sz w:val="24"/>
          <w:szCs w:val="24"/>
          <w:lang w:val="es-ES"/>
        </w:rPr>
      </w:pPr>
    </w:p>
    <w:p w14:paraId="34EBC2CB" w14:textId="77777777" w:rsidR="0034131E" w:rsidRDefault="00E660F9">
      <w:pPr>
        <w:spacing w:line="254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CONTACTO</w:t>
      </w:r>
    </w:p>
    <w:tbl>
      <w:tblPr>
        <w:tblStyle w:val="a"/>
        <w:tblW w:w="9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03"/>
        <w:gridCol w:w="4552"/>
      </w:tblGrid>
      <w:tr w:rsidR="0034131E" w14:paraId="10E87855" w14:textId="77777777">
        <w:trPr>
          <w:trHeight w:val="1725"/>
        </w:trPr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B8FE" w14:textId="77777777" w:rsidR="0034131E" w:rsidRDefault="0034131E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3E71BA8C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>Edenred</w:t>
            </w:r>
          </w:p>
          <w:p w14:paraId="2C0E5145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Alejandro Delgado Sánchez</w:t>
            </w:r>
          </w:p>
          <w:p w14:paraId="3C5097B0" w14:textId="77777777" w:rsidR="0034131E" w:rsidRDefault="00E660F9">
            <w:pPr>
              <w:jc w:val="both"/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Communications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Specialist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</w:t>
            </w:r>
          </w:p>
          <w:p w14:paraId="7AD809AF" w14:textId="77777777" w:rsidR="0034131E" w:rsidRDefault="0034131E">
            <w:pPr>
              <w:jc w:val="both"/>
            </w:pPr>
            <w:hyperlink r:id="rId10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alejandro.delgadosanchez@edenred.com</w:t>
              </w:r>
            </w:hyperlink>
          </w:p>
          <w:p w14:paraId="4CF87B1B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4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9073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188D7D39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 xml:space="preserve">Newlink Spain </w:t>
            </w:r>
          </w:p>
          <w:p w14:paraId="0709A77C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Marina Gascón | Patricia Vizcaíno | Sara García</w:t>
            </w:r>
          </w:p>
          <w:p w14:paraId="186B073B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651 96 34 59</w:t>
            </w:r>
          </w:p>
          <w:p w14:paraId="5D012B56" w14:textId="77777777" w:rsidR="0034131E" w:rsidRDefault="0034131E">
            <w:pPr>
              <w:spacing w:line="251" w:lineRule="auto"/>
            </w:pPr>
            <w:hyperlink r:id="rId11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equipo.edenred@newlink-group.com</w:t>
              </w:r>
            </w:hyperlink>
          </w:p>
        </w:tc>
      </w:tr>
    </w:tbl>
    <w:p w14:paraId="71CD1086" w14:textId="77777777" w:rsidR="0034131E" w:rsidRDefault="0034131E">
      <w:pPr>
        <w:ind w:left="141"/>
        <w:rPr>
          <w:color w:val="002060"/>
        </w:rPr>
      </w:pPr>
    </w:p>
    <w:p w14:paraId="1B5786D6" w14:textId="77777777" w:rsidR="00F05582" w:rsidRPr="00C67643" w:rsidRDefault="00F05582" w:rsidP="00F05582">
      <w:pPr>
        <w:tabs>
          <w:tab w:val="left" w:pos="2760"/>
        </w:tabs>
        <w:rPr>
          <w:rFonts w:ascii="Century Gothic" w:hAnsi="Century Gothic"/>
          <w:b/>
          <w:bCs/>
          <w:color w:val="auto"/>
          <w:sz w:val="24"/>
          <w:szCs w:val="24"/>
          <w:lang w:val="es-ES"/>
        </w:rPr>
      </w:pPr>
      <w:r w:rsidRPr="00C67643">
        <w:rPr>
          <w:rFonts w:ascii="Century Gothic" w:hAnsi="Century Gothic"/>
          <w:b/>
          <w:bCs/>
          <w:color w:val="auto"/>
          <w:sz w:val="24"/>
          <w:szCs w:val="24"/>
          <w:lang w:val="es-ES"/>
        </w:rPr>
        <w:t>PUBLICACIONES RELACIONADAS</w:t>
      </w:r>
    </w:p>
    <w:p w14:paraId="07DC7612" w14:textId="77777777" w:rsidR="00F05582" w:rsidRPr="00C67643" w:rsidRDefault="00F05582" w:rsidP="00F05582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</w:p>
    <w:p w14:paraId="2FAA381A" w14:textId="77777777" w:rsidR="00F05582" w:rsidRPr="006D40B0" w:rsidRDefault="00F05582" w:rsidP="00F05582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  <w:r w:rsidRPr="006D40B0">
        <w:rPr>
          <w:rFonts w:ascii="Century Gothic" w:hAnsi="Century Gothic"/>
          <w:color w:val="auto"/>
          <w:lang w:val="es-ES"/>
        </w:rPr>
        <w:t>Si deseas ampliar información sobre este comunicado, puedes consultar las siguientes publicaciones:</w:t>
      </w:r>
    </w:p>
    <w:p w14:paraId="303713B0" w14:textId="77777777" w:rsidR="00F05582" w:rsidRPr="005165E1" w:rsidRDefault="00F05582" w:rsidP="00F05582">
      <w:pPr>
        <w:rPr>
          <w:rFonts w:ascii="Century Gothic" w:hAnsi="Century Gothic"/>
          <w:color w:val="0000FF"/>
          <w:u w:val="single"/>
          <w:lang w:val="es-ES" w:eastAsia="zh-TW"/>
        </w:rPr>
      </w:pPr>
    </w:p>
    <w:p w14:paraId="4BFB2366" w14:textId="153830BE" w:rsidR="00F05582" w:rsidRPr="001540C1" w:rsidRDefault="00F05582" w:rsidP="00F05582">
      <w:pPr>
        <w:pStyle w:val="Prrafodelista"/>
        <w:numPr>
          <w:ilvl w:val="0"/>
          <w:numId w:val="19"/>
        </w:numPr>
        <w:suppressAutoHyphens w:val="0"/>
        <w:spacing w:line="240" w:lineRule="auto"/>
        <w:contextualSpacing w:val="0"/>
        <w:rPr>
          <w:rFonts w:ascii="Century Gothic" w:hAnsi="Century Gothic" w:cs="Calibri"/>
          <w:lang w:val="es-ES" w:eastAsia="zh-TW"/>
        </w:rPr>
      </w:pPr>
      <w:r w:rsidRPr="001540C1">
        <w:rPr>
          <w:rFonts w:ascii="Century Gothic" w:hAnsi="Century Gothic" w:cs="Calibri"/>
          <w:b/>
          <w:bCs/>
          <w:color w:val="000000"/>
          <w:lang w:val="es-ES"/>
        </w:rPr>
        <w:t>F</w:t>
      </w:r>
      <w:r w:rsidR="009D4053" w:rsidRPr="001540C1">
        <w:rPr>
          <w:rFonts w:ascii="Century Gothic" w:hAnsi="Century Gothic" w:cs="Calibri"/>
          <w:b/>
          <w:bCs/>
          <w:color w:val="000000"/>
          <w:lang w:val="es-ES"/>
        </w:rPr>
        <w:t>orbes</w:t>
      </w:r>
      <w:r w:rsidRPr="001540C1">
        <w:rPr>
          <w:rFonts w:ascii="Century Gothic" w:hAnsi="Century Gothic" w:cs="Calibri"/>
          <w:b/>
          <w:bCs/>
          <w:color w:val="000000"/>
          <w:lang w:val="es-ES"/>
        </w:rPr>
        <w:t>:</w:t>
      </w:r>
      <w:r w:rsidRPr="001540C1">
        <w:rPr>
          <w:rFonts w:ascii="Century Gothic" w:hAnsi="Century Gothic" w:cs="Calibri"/>
          <w:color w:val="000000"/>
          <w:lang w:val="es-ES"/>
        </w:rPr>
        <w:t xml:space="preserve"> </w:t>
      </w:r>
      <w:hyperlink r:id="rId12" w:tgtFrame="_blank" w:history="1"/>
      <w:hyperlink r:id="rId13" w:history="1">
        <w:r w:rsidR="00F018EF" w:rsidRPr="001540C1">
          <w:rPr>
            <w:rStyle w:val="Hipervnculo"/>
            <w:rFonts w:ascii="Century Gothic" w:hAnsi="Century Gothic"/>
            <w:lang w:val="es-ES"/>
          </w:rPr>
          <w:t>Edenred logra un beneficio récord de 521 millones de euros en 2025, un 2,8% más, y eleva un 10% el dividendo</w:t>
        </w:r>
      </w:hyperlink>
      <w:r w:rsidR="00F018EF" w:rsidRPr="001540C1">
        <w:rPr>
          <w:rFonts w:ascii="Century Gothic" w:hAnsi="Century Gothic"/>
          <w:lang w:val="es-ES"/>
        </w:rPr>
        <w:t xml:space="preserve"> </w:t>
      </w:r>
    </w:p>
    <w:p w14:paraId="7C89DF6F" w14:textId="77777777" w:rsidR="00F05582" w:rsidRPr="001540C1" w:rsidRDefault="00F05582" w:rsidP="00F05582">
      <w:pPr>
        <w:pStyle w:val="Prrafodelista"/>
        <w:suppressAutoHyphens w:val="0"/>
        <w:spacing w:line="240" w:lineRule="auto"/>
        <w:ind w:left="1068"/>
        <w:contextualSpacing w:val="0"/>
        <w:rPr>
          <w:rFonts w:ascii="Century Gothic" w:hAnsi="Century Gothic" w:cs="Calibri"/>
          <w:lang w:val="es-ES" w:eastAsia="zh-TW"/>
        </w:rPr>
      </w:pPr>
    </w:p>
    <w:p w14:paraId="01BC6AEF" w14:textId="0AFF629B" w:rsidR="009D4053" w:rsidRPr="001540C1" w:rsidRDefault="009D4053" w:rsidP="009D4053">
      <w:pPr>
        <w:pStyle w:val="Prrafodelista"/>
        <w:numPr>
          <w:ilvl w:val="0"/>
          <w:numId w:val="19"/>
        </w:numPr>
        <w:suppressAutoHyphens w:val="0"/>
        <w:spacing w:line="240" w:lineRule="auto"/>
        <w:rPr>
          <w:rFonts w:ascii="Century Gothic" w:hAnsi="Century Gothic" w:cs="Calibri"/>
          <w:color w:val="0000FF"/>
          <w:u w:val="single"/>
          <w:lang w:val="es-ES"/>
        </w:rPr>
      </w:pPr>
      <w:r w:rsidRPr="001540C1">
        <w:rPr>
          <w:rFonts w:ascii="Century Gothic" w:hAnsi="Century Gothic" w:cs="Calibri"/>
          <w:b/>
          <w:bCs/>
          <w:color w:val="000000"/>
          <w:lang w:val="es-ES"/>
        </w:rPr>
        <w:t xml:space="preserve">Europa </w:t>
      </w:r>
      <w:proofErr w:type="spellStart"/>
      <w:r w:rsidRPr="001540C1">
        <w:rPr>
          <w:rFonts w:ascii="Century Gothic" w:hAnsi="Century Gothic" w:cs="Calibri"/>
          <w:b/>
          <w:bCs/>
          <w:color w:val="000000"/>
          <w:lang w:val="es-ES"/>
        </w:rPr>
        <w:t>Press</w:t>
      </w:r>
      <w:proofErr w:type="spellEnd"/>
      <w:r w:rsidR="00F05582" w:rsidRPr="001540C1">
        <w:rPr>
          <w:rFonts w:ascii="Century Gothic" w:hAnsi="Century Gothic" w:cs="Calibri"/>
          <w:b/>
          <w:bCs/>
          <w:color w:val="000000"/>
          <w:lang w:val="es-ES"/>
        </w:rPr>
        <w:t>:</w:t>
      </w:r>
      <w:r w:rsidR="001540C1">
        <w:rPr>
          <w:rFonts w:ascii="Century Gothic" w:hAnsi="Century Gothic" w:cs="Calibri"/>
          <w:color w:val="0000FF"/>
          <w:u w:val="single"/>
          <w:lang w:val="es-ES"/>
        </w:rPr>
        <w:t xml:space="preserve"> </w:t>
      </w:r>
      <w:hyperlink r:id="rId14" w:history="1">
        <w:r w:rsidRPr="001540C1">
          <w:rPr>
            <w:rStyle w:val="Hipervnculo"/>
            <w:rFonts w:ascii="Century Gothic" w:hAnsi="Century Gothic" w:cs="Calibri"/>
            <w:lang w:val="es-ES"/>
          </w:rPr>
          <w:t>Edenred logra un beneficio récord de 521 millones de euros en 2025, un 2,8% más, y eleva un 10% el dividendo</w:t>
        </w:r>
      </w:hyperlink>
    </w:p>
    <w:p w14:paraId="504DAE4B" w14:textId="345EF3B8" w:rsidR="00F05582" w:rsidRPr="001540C1" w:rsidRDefault="00F05582" w:rsidP="009D4053">
      <w:pPr>
        <w:suppressAutoHyphens w:val="0"/>
        <w:spacing w:line="240" w:lineRule="auto"/>
        <w:ind w:left="708"/>
        <w:rPr>
          <w:rStyle w:val="Hipervnculo"/>
          <w:rFonts w:ascii="Century Gothic" w:hAnsi="Century Gothic" w:cs="Aptos"/>
          <w:lang w:val="es-ES"/>
        </w:rPr>
      </w:pPr>
    </w:p>
    <w:p w14:paraId="467843AF" w14:textId="78559291" w:rsidR="00AA1B47" w:rsidRPr="001540C1" w:rsidRDefault="00AA1B47" w:rsidP="00AA1B47">
      <w:pPr>
        <w:pStyle w:val="Prrafodelista"/>
        <w:numPr>
          <w:ilvl w:val="0"/>
          <w:numId w:val="19"/>
        </w:numPr>
        <w:suppressAutoHyphens w:val="0"/>
        <w:spacing w:line="240" w:lineRule="auto"/>
        <w:rPr>
          <w:rStyle w:val="Hipervnculo"/>
          <w:rFonts w:ascii="Century Gothic" w:hAnsi="Century Gothic" w:cs="Calibri"/>
          <w:lang w:val="es-ES"/>
        </w:rPr>
      </w:pPr>
      <w:r w:rsidRPr="001540C1">
        <w:rPr>
          <w:rFonts w:ascii="Century Gothic" w:hAnsi="Century Gothic" w:cs="Calibri"/>
          <w:b/>
          <w:bCs/>
          <w:color w:val="000000"/>
          <w:lang w:val="es-ES"/>
        </w:rPr>
        <w:t>RRHH Digital</w:t>
      </w:r>
      <w:r w:rsidR="00F05582" w:rsidRPr="001540C1">
        <w:rPr>
          <w:rFonts w:ascii="Century Gothic" w:hAnsi="Century Gothic" w:cs="Calibri"/>
          <w:b/>
          <w:bCs/>
          <w:color w:val="000000"/>
          <w:lang w:val="es-ES"/>
        </w:rPr>
        <w:t xml:space="preserve">: </w:t>
      </w:r>
      <w:r w:rsidR="00F05582" w:rsidRPr="001540C1">
        <w:rPr>
          <w:rFonts w:ascii="Century Gothic" w:hAnsi="Century Gothic"/>
        </w:rPr>
        <w:fldChar w:fldCharType="begin"/>
      </w:r>
      <w:r w:rsidR="00F05582" w:rsidRPr="001540C1">
        <w:rPr>
          <w:rFonts w:ascii="Century Gothic" w:hAnsi="Century Gothic"/>
          <w:lang w:val="es-ES"/>
        </w:rPr>
        <w:instrText>HYPERLINK "https://urldefense.com/v3/__https:/pymesmagazine.es/actualidad/la-generacion-z-lo-tiene-claro-1-de-cada-4-cambiaria-de-empresa-si-no-encuentra-buen-ambiente-laboral/__;!!EyGG_rL3!EmTnJFp4Q1KDXcJz7sQI8TCwLl_K83cUrhtKg7ay5fIgX3QukHQxu9MAX41uVJO54ncZcy6W7qQmmuuZPQN3fX9CZzb9cuu2ii8$" \t "_blank"</w:instrText>
      </w:r>
      <w:r w:rsidR="00F05582" w:rsidRPr="001540C1">
        <w:rPr>
          <w:rFonts w:ascii="Century Gothic" w:hAnsi="Century Gothic"/>
        </w:rPr>
      </w:r>
      <w:r w:rsidR="00F05582" w:rsidRPr="001540C1">
        <w:rPr>
          <w:rFonts w:ascii="Century Gothic" w:hAnsi="Century Gothic"/>
        </w:rPr>
        <w:fldChar w:fldCharType="separate"/>
      </w:r>
      <w:hyperlink r:id="rId15" w:history="1">
        <w:hyperlink r:id="rId16" w:history="1">
          <w:r w:rsidRPr="001540C1">
            <w:rPr>
              <w:rStyle w:val="Hipervnculo"/>
              <w:rFonts w:ascii="Century Gothic" w:hAnsi="Century Gothic" w:cs="Calibri"/>
              <w:lang w:val="es-ES"/>
            </w:rPr>
            <w:t>Edenred logra un beneficio neto récord de 521 millones de euros en 2025</w:t>
          </w:r>
        </w:hyperlink>
      </w:hyperlink>
      <w:r w:rsidR="001540C1" w:rsidRPr="001540C1">
        <w:rPr>
          <w:rStyle w:val="Hipervnculo"/>
          <w:rFonts w:ascii="Century Gothic" w:hAnsi="Century Gothic" w:cs="Calibri"/>
          <w:lang w:val="es-ES"/>
        </w:rPr>
        <w:t xml:space="preserve"> </w:t>
      </w:r>
    </w:p>
    <w:p w14:paraId="4F244E95" w14:textId="0EC96A31" w:rsidR="00F05582" w:rsidRPr="001540C1" w:rsidRDefault="00F05582" w:rsidP="00AA1B47">
      <w:pPr>
        <w:pStyle w:val="Prrafodelista"/>
        <w:suppressAutoHyphens w:val="0"/>
        <w:spacing w:line="240" w:lineRule="auto"/>
        <w:ind w:left="1068"/>
        <w:contextualSpacing w:val="0"/>
        <w:rPr>
          <w:rFonts w:ascii="Century Gothic" w:hAnsi="Century Gothic"/>
          <w:color w:val="55517B"/>
          <w:lang w:val="es-ES"/>
        </w:rPr>
      </w:pPr>
      <w:r w:rsidRPr="001540C1">
        <w:rPr>
          <w:rStyle w:val="Hipervnculo"/>
          <w:rFonts w:ascii="Century Gothic" w:hAnsi="Century Gothic" w:cs="Calibri"/>
          <w:lang w:val="es-ES"/>
        </w:rPr>
        <w:t>  </w:t>
      </w:r>
      <w:r w:rsidRPr="001540C1">
        <w:rPr>
          <w:rFonts w:ascii="Century Gothic" w:hAnsi="Century Gothic"/>
        </w:rPr>
        <w:fldChar w:fldCharType="end"/>
      </w:r>
    </w:p>
    <w:p w14:paraId="62FFDE23" w14:textId="77777777" w:rsidR="0034131E" w:rsidRPr="00BC6530" w:rsidRDefault="0034131E">
      <w:pPr>
        <w:tabs>
          <w:tab w:val="left" w:pos="2760"/>
        </w:tabs>
        <w:rPr>
          <w:lang w:val="es-ES"/>
        </w:rPr>
      </w:pPr>
    </w:p>
    <w:sectPr w:rsidR="0034131E" w:rsidRPr="00BC6530">
      <w:footerReference w:type="default" r:id="rId1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022ED" w14:textId="77777777" w:rsidR="004106E1" w:rsidRDefault="004106E1">
      <w:pPr>
        <w:spacing w:line="240" w:lineRule="auto"/>
      </w:pPr>
      <w:r>
        <w:separator/>
      </w:r>
    </w:p>
  </w:endnote>
  <w:endnote w:type="continuationSeparator" w:id="0">
    <w:p w14:paraId="16E77171" w14:textId="77777777" w:rsidR="004106E1" w:rsidRDefault="004106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AD987FC1-490A-4E66-A2E6-2F0653600556}"/>
    <w:embedBold r:id="rId2" w:fontKey="{742D19EF-20C9-4271-B836-397FE72B24E6}"/>
    <w:embedItalic r:id="rId3" w:fontKey="{71D9D12B-6DF9-4F50-990D-5AC50E96D6BF}"/>
  </w:font>
  <w:font w:name="URW Gothic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931D0D6-B964-4501-9237-256EA455357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DE5F724-11C4-4144-8642-9F9B14E70C50}"/>
    <w:embedBold r:id="rId6" w:fontKey="{0B8546FD-5420-4ED6-A372-68C14368E56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C276811F-080F-4115-8DAB-A81C115BCA82}"/>
    <w:embedItalic r:id="rId8" w:fontKey="{A113A3E5-8313-4B98-9FF1-53EEFF1882B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DE61844E-09B5-4F3D-BEB1-9512D215FC44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9C9BDA42-ACDD-48DC-97EE-B256369267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5193" w14:textId="77777777" w:rsidR="0034131E" w:rsidRDefault="00E660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B5CB540" wp14:editId="6EA21FCE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525697" cy="337303"/>
          <wp:effectExtent l="0" t="0" r="0" b="0"/>
          <wp:wrapNone/>
          <wp:docPr id="827937672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697" cy="337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07DCA" w14:textId="77777777" w:rsidR="004106E1" w:rsidRDefault="004106E1">
      <w:pPr>
        <w:spacing w:line="240" w:lineRule="auto"/>
      </w:pPr>
      <w:r>
        <w:separator/>
      </w:r>
    </w:p>
  </w:footnote>
  <w:footnote w:type="continuationSeparator" w:id="0">
    <w:p w14:paraId="5F01893C" w14:textId="77777777" w:rsidR="004106E1" w:rsidRDefault="004106E1">
      <w:pPr>
        <w:spacing w:line="240" w:lineRule="auto"/>
      </w:pPr>
      <w:r>
        <w:continuationSeparator/>
      </w:r>
    </w:p>
  </w:footnote>
  <w:footnote w:id="1">
    <w:p w14:paraId="5D03FF32" w14:textId="3FA231AA" w:rsidR="006F503B" w:rsidRPr="00295F42" w:rsidRDefault="006F503B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BC6530">
        <w:rPr>
          <w:lang w:val="es-ES"/>
        </w:rPr>
        <w:t xml:space="preserve"> </w:t>
      </w:r>
      <w:r w:rsidR="00420B2F" w:rsidRPr="00295F42">
        <w:rPr>
          <w:lang w:val="es-ES"/>
        </w:rPr>
        <w:t>Normativa y metodología constantes.</w:t>
      </w:r>
    </w:p>
    <w:p w14:paraId="6C9C771B" w14:textId="77777777" w:rsidR="00B77553" w:rsidRPr="00295F42" w:rsidRDefault="00B77553">
      <w:pPr>
        <w:pStyle w:val="Textonotapie"/>
        <w:rPr>
          <w:lang w:val="es-ES"/>
        </w:rPr>
      </w:pPr>
    </w:p>
  </w:footnote>
  <w:footnote w:id="2">
    <w:p w14:paraId="224686BA" w14:textId="7D00E95B" w:rsidR="00293519" w:rsidRPr="00293519" w:rsidRDefault="00293519" w:rsidP="00B77553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BC6530">
        <w:rPr>
          <w:lang w:val="es-ES"/>
        </w:rPr>
        <w:t xml:space="preserve"> </w:t>
      </w:r>
      <w:r w:rsidR="00B77553" w:rsidRPr="00B77553">
        <w:rPr>
          <w:lang w:val="es-ES"/>
        </w:rPr>
        <w:t>Excluyendo la amortización del precio de adquisición y otros ingresos y gastos, después de impuestos.</w:t>
      </w:r>
    </w:p>
  </w:footnote>
  <w:footnote w:id="3">
    <w:p w14:paraId="56EB80B7" w14:textId="60996E5A" w:rsidR="00B77553" w:rsidRPr="00B77553" w:rsidRDefault="00B77553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BC6530">
        <w:rPr>
          <w:lang w:val="es-ES"/>
        </w:rPr>
        <w:t xml:space="preserve"> </w:t>
      </w:r>
      <w:r w:rsidRPr="00B77553">
        <w:rPr>
          <w:lang w:val="es-ES"/>
        </w:rPr>
        <w:t>A propuesta para su aprobación en la Junta General del 7 de mayo de 2026.</w:t>
      </w:r>
    </w:p>
  </w:footnote>
  <w:footnote w:id="4">
    <w:p w14:paraId="61272FA5" w14:textId="34018A19" w:rsidR="00713768" w:rsidRPr="00713768" w:rsidRDefault="00713768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BC6530">
        <w:rPr>
          <w:lang w:val="es-ES"/>
        </w:rPr>
        <w:t xml:space="preserve"> </w:t>
      </w:r>
      <w:r w:rsidR="00004095" w:rsidRPr="00BC6530">
        <w:rPr>
          <w:lang w:val="es-ES"/>
        </w:rPr>
        <w:t>Normativa y metodologías constantes (por ejemplo, excluyendo el impacto de los cambios regulatorios en Brasil e Italia).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44AC5"/>
    <w:multiLevelType w:val="multilevel"/>
    <w:tmpl w:val="640A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54FB0"/>
    <w:multiLevelType w:val="multilevel"/>
    <w:tmpl w:val="99C81776"/>
    <w:lvl w:ilvl="0">
      <w:start w:val="1"/>
      <w:numFmt w:val="decimal"/>
      <w:pStyle w:val="BoxBulle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B866DFC"/>
    <w:multiLevelType w:val="multilevel"/>
    <w:tmpl w:val="7BEEF018"/>
    <w:lvl w:ilvl="0">
      <w:start w:val="1"/>
      <w:numFmt w:val="bullet"/>
      <w:pStyle w:val="BulletLead-in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FB867B9"/>
    <w:multiLevelType w:val="hybridMultilevel"/>
    <w:tmpl w:val="0CB625B6"/>
    <w:lvl w:ilvl="0" w:tplc="5EC29DB8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A13ED"/>
    <w:multiLevelType w:val="multilevel"/>
    <w:tmpl w:val="3A92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342090"/>
    <w:multiLevelType w:val="multilevel"/>
    <w:tmpl w:val="D8D02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4B1BCF"/>
    <w:multiLevelType w:val="hybridMultilevel"/>
    <w:tmpl w:val="2F66B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63E5F"/>
    <w:multiLevelType w:val="multilevel"/>
    <w:tmpl w:val="EA3E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89529C"/>
    <w:multiLevelType w:val="hybridMultilevel"/>
    <w:tmpl w:val="D3C2637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1B2547"/>
    <w:multiLevelType w:val="multilevel"/>
    <w:tmpl w:val="936C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A13BAB"/>
    <w:multiLevelType w:val="multilevel"/>
    <w:tmpl w:val="A6A2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B21CF7"/>
    <w:multiLevelType w:val="multilevel"/>
    <w:tmpl w:val="E9B8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7D3B1F"/>
    <w:multiLevelType w:val="multilevel"/>
    <w:tmpl w:val="A648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6F7F25"/>
    <w:multiLevelType w:val="multilevel"/>
    <w:tmpl w:val="21AE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D81B8E"/>
    <w:multiLevelType w:val="hybridMultilevel"/>
    <w:tmpl w:val="7722DF90"/>
    <w:lvl w:ilvl="0" w:tplc="AC9EDC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F14517E"/>
    <w:multiLevelType w:val="multilevel"/>
    <w:tmpl w:val="244E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A45956"/>
    <w:multiLevelType w:val="multilevel"/>
    <w:tmpl w:val="28A6CB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URW Gothic" w:eastAsia="URW Gothic" w:hAnsi="URW Gothic" w:cs="URW Gothic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3B340A"/>
    <w:multiLevelType w:val="multilevel"/>
    <w:tmpl w:val="3A96FD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540246018">
    <w:abstractNumId w:val="2"/>
  </w:num>
  <w:num w:numId="2" w16cid:durableId="620915189">
    <w:abstractNumId w:val="1"/>
  </w:num>
  <w:num w:numId="3" w16cid:durableId="950282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3698190">
    <w:abstractNumId w:val="0"/>
  </w:num>
  <w:num w:numId="5" w16cid:durableId="1620795933">
    <w:abstractNumId w:val="11"/>
  </w:num>
  <w:num w:numId="6" w16cid:durableId="615062920">
    <w:abstractNumId w:val="13"/>
  </w:num>
  <w:num w:numId="7" w16cid:durableId="1644777061">
    <w:abstractNumId w:val="8"/>
  </w:num>
  <w:num w:numId="8" w16cid:durableId="948393040">
    <w:abstractNumId w:val="6"/>
  </w:num>
  <w:num w:numId="9" w16cid:durableId="415787886">
    <w:abstractNumId w:val="17"/>
  </w:num>
  <w:num w:numId="10" w16cid:durableId="646012108">
    <w:abstractNumId w:val="4"/>
  </w:num>
  <w:num w:numId="11" w16cid:durableId="372310515">
    <w:abstractNumId w:val="9"/>
  </w:num>
  <w:num w:numId="12" w16cid:durableId="104082762">
    <w:abstractNumId w:val="3"/>
  </w:num>
  <w:num w:numId="13" w16cid:durableId="259801345">
    <w:abstractNumId w:val="16"/>
  </w:num>
  <w:num w:numId="14" w16cid:durableId="1071276580">
    <w:abstractNumId w:val="5"/>
  </w:num>
  <w:num w:numId="15" w16cid:durableId="1909462321">
    <w:abstractNumId w:val="12"/>
  </w:num>
  <w:num w:numId="16" w16cid:durableId="1562908601">
    <w:abstractNumId w:val="10"/>
  </w:num>
  <w:num w:numId="17" w16cid:durableId="713041676">
    <w:abstractNumId w:val="7"/>
  </w:num>
  <w:num w:numId="18" w16cid:durableId="579602307">
    <w:abstractNumId w:val="15"/>
  </w:num>
  <w:num w:numId="19" w16cid:durableId="5289570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1E"/>
    <w:rsid w:val="00001131"/>
    <w:rsid w:val="00004095"/>
    <w:rsid w:val="000068E3"/>
    <w:rsid w:val="00022255"/>
    <w:rsid w:val="00025630"/>
    <w:rsid w:val="00025F0A"/>
    <w:rsid w:val="00025F65"/>
    <w:rsid w:val="000323C6"/>
    <w:rsid w:val="00035309"/>
    <w:rsid w:val="0003750C"/>
    <w:rsid w:val="00041721"/>
    <w:rsid w:val="000417DA"/>
    <w:rsid w:val="0004474C"/>
    <w:rsid w:val="000512F0"/>
    <w:rsid w:val="00053526"/>
    <w:rsid w:val="0005490B"/>
    <w:rsid w:val="00054F03"/>
    <w:rsid w:val="00071659"/>
    <w:rsid w:val="0007216B"/>
    <w:rsid w:val="000873EB"/>
    <w:rsid w:val="00092205"/>
    <w:rsid w:val="000A4CBF"/>
    <w:rsid w:val="000B15B7"/>
    <w:rsid w:val="000E5BEA"/>
    <w:rsid w:val="000F4162"/>
    <w:rsid w:val="000F6F2F"/>
    <w:rsid w:val="00106125"/>
    <w:rsid w:val="00124824"/>
    <w:rsid w:val="00125440"/>
    <w:rsid w:val="001325F8"/>
    <w:rsid w:val="00133556"/>
    <w:rsid w:val="001361C7"/>
    <w:rsid w:val="001509D5"/>
    <w:rsid w:val="001533EB"/>
    <w:rsid w:val="001540C1"/>
    <w:rsid w:val="0015572E"/>
    <w:rsid w:val="001724EC"/>
    <w:rsid w:val="0017574A"/>
    <w:rsid w:val="001832D9"/>
    <w:rsid w:val="0018413A"/>
    <w:rsid w:val="00187A61"/>
    <w:rsid w:val="00196D68"/>
    <w:rsid w:val="001B3304"/>
    <w:rsid w:val="001B6F44"/>
    <w:rsid w:val="001C4938"/>
    <w:rsid w:val="001D2A91"/>
    <w:rsid w:val="001D65D3"/>
    <w:rsid w:val="001D6EE6"/>
    <w:rsid w:val="001E738B"/>
    <w:rsid w:val="001F077B"/>
    <w:rsid w:val="001F472E"/>
    <w:rsid w:val="001F687B"/>
    <w:rsid w:val="001F79A2"/>
    <w:rsid w:val="002023FC"/>
    <w:rsid w:val="00202F85"/>
    <w:rsid w:val="00203447"/>
    <w:rsid w:val="0021067C"/>
    <w:rsid w:val="00215502"/>
    <w:rsid w:val="00220411"/>
    <w:rsid w:val="0023680A"/>
    <w:rsid w:val="00240BFF"/>
    <w:rsid w:val="00240C55"/>
    <w:rsid w:val="002500B4"/>
    <w:rsid w:val="0025118D"/>
    <w:rsid w:val="00251D9A"/>
    <w:rsid w:val="0026388D"/>
    <w:rsid w:val="002665DB"/>
    <w:rsid w:val="00282D32"/>
    <w:rsid w:val="00292119"/>
    <w:rsid w:val="00293519"/>
    <w:rsid w:val="00295F42"/>
    <w:rsid w:val="002A08A5"/>
    <w:rsid w:val="002A32F6"/>
    <w:rsid w:val="002A58F6"/>
    <w:rsid w:val="002AC8F9"/>
    <w:rsid w:val="002D4BFB"/>
    <w:rsid w:val="002E2116"/>
    <w:rsid w:val="002E2D5A"/>
    <w:rsid w:val="002E4084"/>
    <w:rsid w:val="002F6B0B"/>
    <w:rsid w:val="00306C54"/>
    <w:rsid w:val="00316012"/>
    <w:rsid w:val="00323902"/>
    <w:rsid w:val="003242B0"/>
    <w:rsid w:val="0033161C"/>
    <w:rsid w:val="0034131E"/>
    <w:rsid w:val="00346AD9"/>
    <w:rsid w:val="003470F9"/>
    <w:rsid w:val="00350B2A"/>
    <w:rsid w:val="00352B26"/>
    <w:rsid w:val="003530F0"/>
    <w:rsid w:val="00356430"/>
    <w:rsid w:val="0035750B"/>
    <w:rsid w:val="0037071E"/>
    <w:rsid w:val="00372049"/>
    <w:rsid w:val="00372C87"/>
    <w:rsid w:val="003845A2"/>
    <w:rsid w:val="003871DC"/>
    <w:rsid w:val="0039534F"/>
    <w:rsid w:val="003A6ABA"/>
    <w:rsid w:val="003B08CC"/>
    <w:rsid w:val="003B1B90"/>
    <w:rsid w:val="003B6073"/>
    <w:rsid w:val="003C0022"/>
    <w:rsid w:val="003D2293"/>
    <w:rsid w:val="003D5524"/>
    <w:rsid w:val="003E2FB8"/>
    <w:rsid w:val="003E7120"/>
    <w:rsid w:val="004106E1"/>
    <w:rsid w:val="004162FF"/>
    <w:rsid w:val="00420B2F"/>
    <w:rsid w:val="00427E2A"/>
    <w:rsid w:val="00440013"/>
    <w:rsid w:val="004402DC"/>
    <w:rsid w:val="0045258F"/>
    <w:rsid w:val="0045496E"/>
    <w:rsid w:val="00457E63"/>
    <w:rsid w:val="0047282A"/>
    <w:rsid w:val="004947B0"/>
    <w:rsid w:val="004B0ABE"/>
    <w:rsid w:val="004B1BA1"/>
    <w:rsid w:val="004B6C7F"/>
    <w:rsid w:val="004C0418"/>
    <w:rsid w:val="004C218A"/>
    <w:rsid w:val="004D721E"/>
    <w:rsid w:val="004E5017"/>
    <w:rsid w:val="00504A98"/>
    <w:rsid w:val="00505983"/>
    <w:rsid w:val="00505EFC"/>
    <w:rsid w:val="005160D2"/>
    <w:rsid w:val="00550198"/>
    <w:rsid w:val="005667E4"/>
    <w:rsid w:val="0057489F"/>
    <w:rsid w:val="00577129"/>
    <w:rsid w:val="00582CBC"/>
    <w:rsid w:val="00584BD2"/>
    <w:rsid w:val="00584EC4"/>
    <w:rsid w:val="00590726"/>
    <w:rsid w:val="005A0C33"/>
    <w:rsid w:val="005A49F7"/>
    <w:rsid w:val="005C31B6"/>
    <w:rsid w:val="005D09EE"/>
    <w:rsid w:val="005D44D8"/>
    <w:rsid w:val="005D5C33"/>
    <w:rsid w:val="005E195F"/>
    <w:rsid w:val="005F1892"/>
    <w:rsid w:val="00600759"/>
    <w:rsid w:val="006053DD"/>
    <w:rsid w:val="00605A7B"/>
    <w:rsid w:val="006161AE"/>
    <w:rsid w:val="00643AAD"/>
    <w:rsid w:val="00665B97"/>
    <w:rsid w:val="006662D7"/>
    <w:rsid w:val="006665A6"/>
    <w:rsid w:val="006674B5"/>
    <w:rsid w:val="00667F07"/>
    <w:rsid w:val="0068486D"/>
    <w:rsid w:val="00693B0A"/>
    <w:rsid w:val="006A2018"/>
    <w:rsid w:val="006C0F32"/>
    <w:rsid w:val="006C1C72"/>
    <w:rsid w:val="006C703E"/>
    <w:rsid w:val="006D0E3A"/>
    <w:rsid w:val="006D4363"/>
    <w:rsid w:val="006E4D06"/>
    <w:rsid w:val="006F503B"/>
    <w:rsid w:val="00705CB8"/>
    <w:rsid w:val="00711AC4"/>
    <w:rsid w:val="00713768"/>
    <w:rsid w:val="00713AC2"/>
    <w:rsid w:val="00714118"/>
    <w:rsid w:val="007142AE"/>
    <w:rsid w:val="0071623A"/>
    <w:rsid w:val="00720D3A"/>
    <w:rsid w:val="00726216"/>
    <w:rsid w:val="00736ABB"/>
    <w:rsid w:val="00741E0C"/>
    <w:rsid w:val="007464E8"/>
    <w:rsid w:val="00751D20"/>
    <w:rsid w:val="007526FE"/>
    <w:rsid w:val="00754BD4"/>
    <w:rsid w:val="0075745C"/>
    <w:rsid w:val="0076109A"/>
    <w:rsid w:val="007624FC"/>
    <w:rsid w:val="00766BAF"/>
    <w:rsid w:val="0078018B"/>
    <w:rsid w:val="007818AD"/>
    <w:rsid w:val="007939DF"/>
    <w:rsid w:val="00793DB6"/>
    <w:rsid w:val="007A18EE"/>
    <w:rsid w:val="007A254F"/>
    <w:rsid w:val="007A4627"/>
    <w:rsid w:val="007A4899"/>
    <w:rsid w:val="007B551B"/>
    <w:rsid w:val="007C753D"/>
    <w:rsid w:val="007C7B55"/>
    <w:rsid w:val="007D1E1B"/>
    <w:rsid w:val="007D3A70"/>
    <w:rsid w:val="007E0322"/>
    <w:rsid w:val="007E0FDF"/>
    <w:rsid w:val="007F01E3"/>
    <w:rsid w:val="007F361A"/>
    <w:rsid w:val="0080549B"/>
    <w:rsid w:val="0081117A"/>
    <w:rsid w:val="00816D2B"/>
    <w:rsid w:val="0083385A"/>
    <w:rsid w:val="00833D4F"/>
    <w:rsid w:val="0084066C"/>
    <w:rsid w:val="00857B31"/>
    <w:rsid w:val="00867695"/>
    <w:rsid w:val="008772FF"/>
    <w:rsid w:val="00880B27"/>
    <w:rsid w:val="0088228D"/>
    <w:rsid w:val="0088391F"/>
    <w:rsid w:val="0089688A"/>
    <w:rsid w:val="008B1380"/>
    <w:rsid w:val="008B282B"/>
    <w:rsid w:val="008B3796"/>
    <w:rsid w:val="008B41AE"/>
    <w:rsid w:val="008C1849"/>
    <w:rsid w:val="008C5C42"/>
    <w:rsid w:val="008D40B2"/>
    <w:rsid w:val="008D4734"/>
    <w:rsid w:val="008D77A2"/>
    <w:rsid w:val="008F4B3F"/>
    <w:rsid w:val="008F64D6"/>
    <w:rsid w:val="0091303A"/>
    <w:rsid w:val="00915638"/>
    <w:rsid w:val="00922EAE"/>
    <w:rsid w:val="0092607F"/>
    <w:rsid w:val="00936408"/>
    <w:rsid w:val="00941FE5"/>
    <w:rsid w:val="009437D4"/>
    <w:rsid w:val="0096069A"/>
    <w:rsid w:val="00963D99"/>
    <w:rsid w:val="00971FE1"/>
    <w:rsid w:val="0097713A"/>
    <w:rsid w:val="00980339"/>
    <w:rsid w:val="009A6777"/>
    <w:rsid w:val="009A6BE4"/>
    <w:rsid w:val="009C2205"/>
    <w:rsid w:val="009C2F55"/>
    <w:rsid w:val="009D4053"/>
    <w:rsid w:val="009D71F7"/>
    <w:rsid w:val="009E4AFC"/>
    <w:rsid w:val="009F4EA4"/>
    <w:rsid w:val="009F5D79"/>
    <w:rsid w:val="00A0047A"/>
    <w:rsid w:val="00A07989"/>
    <w:rsid w:val="00A120D0"/>
    <w:rsid w:val="00A12632"/>
    <w:rsid w:val="00A153E8"/>
    <w:rsid w:val="00A329FB"/>
    <w:rsid w:val="00A367C9"/>
    <w:rsid w:val="00A446DD"/>
    <w:rsid w:val="00A458BE"/>
    <w:rsid w:val="00A50C82"/>
    <w:rsid w:val="00A514EC"/>
    <w:rsid w:val="00A51A29"/>
    <w:rsid w:val="00A63651"/>
    <w:rsid w:val="00A6484B"/>
    <w:rsid w:val="00A75C6D"/>
    <w:rsid w:val="00A76561"/>
    <w:rsid w:val="00A95D2A"/>
    <w:rsid w:val="00AA1B47"/>
    <w:rsid w:val="00AA3086"/>
    <w:rsid w:val="00AC25DE"/>
    <w:rsid w:val="00AD5033"/>
    <w:rsid w:val="00AE6FF0"/>
    <w:rsid w:val="00B127EA"/>
    <w:rsid w:val="00B15D8C"/>
    <w:rsid w:val="00B22000"/>
    <w:rsid w:val="00B35B98"/>
    <w:rsid w:val="00B36B85"/>
    <w:rsid w:val="00B43D04"/>
    <w:rsid w:val="00B52170"/>
    <w:rsid w:val="00B70AFB"/>
    <w:rsid w:val="00B77553"/>
    <w:rsid w:val="00B96983"/>
    <w:rsid w:val="00BA70E9"/>
    <w:rsid w:val="00BB29B5"/>
    <w:rsid w:val="00BB4148"/>
    <w:rsid w:val="00BC6530"/>
    <w:rsid w:val="00BC6A55"/>
    <w:rsid w:val="00BC7B11"/>
    <w:rsid w:val="00BD0652"/>
    <w:rsid w:val="00BD2594"/>
    <w:rsid w:val="00BE1228"/>
    <w:rsid w:val="00BE6191"/>
    <w:rsid w:val="00BF2B92"/>
    <w:rsid w:val="00C03BAF"/>
    <w:rsid w:val="00C07913"/>
    <w:rsid w:val="00C355E6"/>
    <w:rsid w:val="00C40BEB"/>
    <w:rsid w:val="00C53F92"/>
    <w:rsid w:val="00C54FD6"/>
    <w:rsid w:val="00C62290"/>
    <w:rsid w:val="00C85D30"/>
    <w:rsid w:val="00CA154F"/>
    <w:rsid w:val="00CA6FAD"/>
    <w:rsid w:val="00CB3941"/>
    <w:rsid w:val="00CB5AED"/>
    <w:rsid w:val="00CB702A"/>
    <w:rsid w:val="00CB791B"/>
    <w:rsid w:val="00CD5537"/>
    <w:rsid w:val="00CD7BD6"/>
    <w:rsid w:val="00CE15AF"/>
    <w:rsid w:val="00D03656"/>
    <w:rsid w:val="00D13FE4"/>
    <w:rsid w:val="00D1622C"/>
    <w:rsid w:val="00D17EE6"/>
    <w:rsid w:val="00D3189C"/>
    <w:rsid w:val="00D339B9"/>
    <w:rsid w:val="00D60657"/>
    <w:rsid w:val="00D77A2F"/>
    <w:rsid w:val="00D803AC"/>
    <w:rsid w:val="00D87718"/>
    <w:rsid w:val="00D91B81"/>
    <w:rsid w:val="00D92E54"/>
    <w:rsid w:val="00D92F2E"/>
    <w:rsid w:val="00DA44E2"/>
    <w:rsid w:val="00DA4651"/>
    <w:rsid w:val="00DB05D1"/>
    <w:rsid w:val="00DB0FC4"/>
    <w:rsid w:val="00DD27EF"/>
    <w:rsid w:val="00DD5276"/>
    <w:rsid w:val="00DE0B37"/>
    <w:rsid w:val="00DE42DC"/>
    <w:rsid w:val="00DE7FC7"/>
    <w:rsid w:val="00DF1697"/>
    <w:rsid w:val="00E006BE"/>
    <w:rsid w:val="00E06DEB"/>
    <w:rsid w:val="00E21942"/>
    <w:rsid w:val="00E21E9B"/>
    <w:rsid w:val="00E22330"/>
    <w:rsid w:val="00E36C9E"/>
    <w:rsid w:val="00E52092"/>
    <w:rsid w:val="00E62368"/>
    <w:rsid w:val="00E660F9"/>
    <w:rsid w:val="00E7181B"/>
    <w:rsid w:val="00E72906"/>
    <w:rsid w:val="00E73445"/>
    <w:rsid w:val="00E82000"/>
    <w:rsid w:val="00E8331B"/>
    <w:rsid w:val="00E83C62"/>
    <w:rsid w:val="00E847E1"/>
    <w:rsid w:val="00E87CFB"/>
    <w:rsid w:val="00E95017"/>
    <w:rsid w:val="00E96913"/>
    <w:rsid w:val="00EA2718"/>
    <w:rsid w:val="00EA5BD2"/>
    <w:rsid w:val="00EB2FEF"/>
    <w:rsid w:val="00ED40D2"/>
    <w:rsid w:val="00ED61EE"/>
    <w:rsid w:val="00ED7249"/>
    <w:rsid w:val="00EE2FCB"/>
    <w:rsid w:val="00EF143C"/>
    <w:rsid w:val="00F0119D"/>
    <w:rsid w:val="00F018EF"/>
    <w:rsid w:val="00F05582"/>
    <w:rsid w:val="00F06410"/>
    <w:rsid w:val="00F127EF"/>
    <w:rsid w:val="00F16D4A"/>
    <w:rsid w:val="00F205CD"/>
    <w:rsid w:val="00F22467"/>
    <w:rsid w:val="00F300B0"/>
    <w:rsid w:val="00F30A2E"/>
    <w:rsid w:val="00F348CD"/>
    <w:rsid w:val="00F42A44"/>
    <w:rsid w:val="00F43594"/>
    <w:rsid w:val="00F44031"/>
    <w:rsid w:val="00F539A2"/>
    <w:rsid w:val="00F600BE"/>
    <w:rsid w:val="00F65124"/>
    <w:rsid w:val="00F71D13"/>
    <w:rsid w:val="00F74CB2"/>
    <w:rsid w:val="00F92ECE"/>
    <w:rsid w:val="00F964D3"/>
    <w:rsid w:val="00FC5675"/>
    <w:rsid w:val="00FD4C4E"/>
    <w:rsid w:val="00FD76EF"/>
    <w:rsid w:val="00FE17FD"/>
    <w:rsid w:val="00FE19E7"/>
    <w:rsid w:val="00FE7B55"/>
    <w:rsid w:val="00FF4442"/>
    <w:rsid w:val="05F2F5FE"/>
    <w:rsid w:val="065F4BB8"/>
    <w:rsid w:val="09EFB7A2"/>
    <w:rsid w:val="0E6A4D40"/>
    <w:rsid w:val="0EACD5B9"/>
    <w:rsid w:val="13EBFE23"/>
    <w:rsid w:val="160D062E"/>
    <w:rsid w:val="1BC155E2"/>
    <w:rsid w:val="1DD92EDD"/>
    <w:rsid w:val="213CBF0C"/>
    <w:rsid w:val="2196402C"/>
    <w:rsid w:val="21EC79F4"/>
    <w:rsid w:val="23AE8FDB"/>
    <w:rsid w:val="25D5E126"/>
    <w:rsid w:val="26D8F9FE"/>
    <w:rsid w:val="2823BA89"/>
    <w:rsid w:val="2B526E90"/>
    <w:rsid w:val="2BCF5C3B"/>
    <w:rsid w:val="308CE62E"/>
    <w:rsid w:val="34FEDFA7"/>
    <w:rsid w:val="369F593A"/>
    <w:rsid w:val="374C9155"/>
    <w:rsid w:val="375BD748"/>
    <w:rsid w:val="383814D8"/>
    <w:rsid w:val="38B4911A"/>
    <w:rsid w:val="3B008945"/>
    <w:rsid w:val="3BA2837A"/>
    <w:rsid w:val="3C53924A"/>
    <w:rsid w:val="3F5437B4"/>
    <w:rsid w:val="41641B85"/>
    <w:rsid w:val="4959E5F3"/>
    <w:rsid w:val="4BE621DD"/>
    <w:rsid w:val="4CCE9515"/>
    <w:rsid w:val="50F06A75"/>
    <w:rsid w:val="524D17EB"/>
    <w:rsid w:val="5305EDC2"/>
    <w:rsid w:val="53BD2348"/>
    <w:rsid w:val="546A92CD"/>
    <w:rsid w:val="5898401E"/>
    <w:rsid w:val="5DA99854"/>
    <w:rsid w:val="663B0077"/>
    <w:rsid w:val="70C8D37E"/>
    <w:rsid w:val="7433E11C"/>
    <w:rsid w:val="7871484E"/>
    <w:rsid w:val="79BE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34EEC3"/>
  <w15:docId w15:val="{6C03D76B-DA03-406D-A78D-61B9D3E7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1204C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60" w:lineRule="atLeast"/>
    </w:pPr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line="276" w:lineRule="auto"/>
      <w:ind w:left="708"/>
      <w:outlineLvl w:val="0"/>
    </w:pPr>
    <w:rPr>
      <w:rFonts w:eastAsia="MS Gothic"/>
      <w:b/>
      <w:bCs/>
      <w:color w:val="17153B"/>
      <w:sz w:val="28"/>
      <w:szCs w:val="28"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1"/>
    </w:pPr>
    <w:rPr>
      <w:rFonts w:eastAsia="MS Gothic"/>
      <w:b/>
      <w:bCs/>
      <w:color w:val="201C50"/>
      <w:sz w:val="26"/>
      <w:szCs w:val="26"/>
      <w:lang w:val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2"/>
    </w:pPr>
    <w:rPr>
      <w:rFonts w:eastAsia="MS Gothic"/>
      <w:b/>
      <w:bCs/>
      <w:color w:val="201C50"/>
      <w:szCs w:val="22"/>
      <w:lang w:val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spacing w:line="240" w:lineRule="auto"/>
    </w:pPr>
    <w:rPr>
      <w:rFonts w:ascii="Century Gothic" w:hAnsi="Century Gothic"/>
      <w:color w:val="auto"/>
      <w:sz w:val="28"/>
    </w:rPr>
  </w:style>
  <w:style w:type="paragraph" w:styleId="Piedepgina">
    <w:name w:val="footer"/>
    <w:basedOn w:val="Normal"/>
    <w:pPr>
      <w:tabs>
        <w:tab w:val="center" w:pos="4536"/>
        <w:tab w:val="right" w:pos="9072"/>
      </w:tabs>
      <w:spacing w:line="240" w:lineRule="auto"/>
    </w:pPr>
  </w:style>
  <w:style w:type="paragraph" w:customStyle="1" w:styleId="EdenredDate">
    <w:name w:val="Edenred Date"/>
    <w:basedOn w:val="Encabezado"/>
    <w:pPr>
      <w:jc w:val="right"/>
    </w:pPr>
    <w:rPr>
      <w:sz w:val="20"/>
    </w:rPr>
  </w:style>
  <w:style w:type="paragraph" w:customStyle="1" w:styleId="EdenredTitle">
    <w:name w:val="Edenred Title"/>
    <w:basedOn w:val="Text"/>
    <w:rPr>
      <w:color w:val="162056"/>
      <w:sz w:val="40"/>
      <w:szCs w:val="40"/>
    </w:rPr>
  </w:style>
  <w:style w:type="paragraph" w:customStyle="1" w:styleId="Edenredsubtitle">
    <w:name w:val="Edenred subtitle"/>
    <w:basedOn w:val="Normal"/>
    <w:pPr>
      <w:spacing w:line="254" w:lineRule="auto"/>
      <w:jc w:val="both"/>
    </w:pPr>
    <w:rPr>
      <w:rFonts w:ascii="Century Gothic" w:hAnsi="Century Gothic"/>
      <w:color w:val="003591"/>
      <w:sz w:val="30"/>
      <w:szCs w:val="30"/>
      <w:lang w:val="en-US"/>
    </w:rPr>
  </w:style>
  <w:style w:type="paragraph" w:customStyle="1" w:styleId="Text">
    <w:name w:val="Text"/>
    <w:basedOn w:val="Normal"/>
    <w:pPr>
      <w:spacing w:line="254" w:lineRule="auto"/>
      <w:jc w:val="both"/>
    </w:pPr>
    <w:rPr>
      <w:rFonts w:ascii="Century Gothic" w:hAnsi="Century Gothic"/>
      <w:color w:val="auto"/>
      <w:lang w:val="en-US"/>
    </w:rPr>
  </w:style>
  <w:style w:type="character" w:customStyle="1" w:styleId="PiedepginaCar">
    <w:name w:val="Pie de página Car"/>
    <w:basedOn w:val="Fuentedeprrafopredeter"/>
    <w:rPr>
      <w:rFonts w:ascii="Arial" w:hAnsi="Arial"/>
      <w:color w:val="11204C"/>
      <w:lang w:eastAsia="en-US"/>
    </w:rPr>
  </w:style>
  <w:style w:type="paragraph" w:styleId="Textodeglob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color w:val="11204C"/>
      <w:sz w:val="16"/>
      <w:szCs w:val="16"/>
      <w:lang w:eastAsia="en-US"/>
    </w:rPr>
  </w:style>
  <w:style w:type="paragraph" w:customStyle="1" w:styleId="Page">
    <w:name w:val="Page"/>
    <w:basedOn w:val="Normal"/>
    <w:pPr>
      <w:jc w:val="right"/>
    </w:pPr>
    <w:rPr>
      <w:sz w:val="16"/>
    </w:rPr>
  </w:style>
  <w:style w:type="character" w:customStyle="1" w:styleId="TextCar">
    <w:name w:val="Text Car"/>
    <w:rPr>
      <w:rFonts w:ascii="Century Gothic" w:hAnsi="Century Gothic" w:cs="Arial"/>
      <w:lang w:val="en-US" w:eastAsia="en-US"/>
    </w:rPr>
  </w:style>
  <w:style w:type="paragraph" w:styleId="Textonotapie">
    <w:name w:val="footnote text"/>
    <w:basedOn w:val="Normal"/>
    <w:pPr>
      <w:spacing w:line="240" w:lineRule="auto"/>
    </w:pPr>
    <w:rPr>
      <w:rFonts w:ascii="Century Gothic" w:hAnsi="Century Gothic"/>
      <w:color w:val="auto"/>
      <w:sz w:val="14"/>
    </w:rPr>
  </w:style>
  <w:style w:type="character" w:customStyle="1" w:styleId="TextonotapieCar">
    <w:name w:val="Texto nota pie Car"/>
    <w:rPr>
      <w:rFonts w:ascii="Century Gothic" w:hAnsi="Century Gothic"/>
      <w:sz w:val="14"/>
      <w:lang w:eastAsia="en-US"/>
    </w:rPr>
  </w:style>
  <w:style w:type="character" w:styleId="Refdenotaalpie">
    <w:name w:val="footnote reference"/>
    <w:rPr>
      <w:position w:val="0"/>
      <w:vertAlign w:val="superscript"/>
    </w:rPr>
  </w:style>
  <w:style w:type="character" w:customStyle="1" w:styleId="Ttulo1Car">
    <w:name w:val="Título 1 Car"/>
    <w:rPr>
      <w:rFonts w:ascii="Arial" w:eastAsia="MS Gothic" w:hAnsi="Arial"/>
      <w:b/>
      <w:bCs/>
      <w:color w:val="17153B"/>
      <w:sz w:val="28"/>
      <w:szCs w:val="28"/>
      <w:lang w:val="en-US" w:eastAsia="en-US"/>
    </w:rPr>
  </w:style>
  <w:style w:type="character" w:customStyle="1" w:styleId="Ttulo2Car">
    <w:name w:val="Título 2 Car"/>
    <w:rPr>
      <w:rFonts w:ascii="Arial" w:eastAsia="MS Gothic" w:hAnsi="Arial"/>
      <w:b/>
      <w:bCs/>
      <w:color w:val="201C50"/>
      <w:sz w:val="26"/>
      <w:szCs w:val="26"/>
      <w:lang w:val="en-US" w:eastAsia="en-US"/>
    </w:rPr>
  </w:style>
  <w:style w:type="character" w:customStyle="1" w:styleId="Ttulo3Car">
    <w:name w:val="Título 3 Car"/>
    <w:rPr>
      <w:rFonts w:ascii="Arial" w:eastAsia="MS Gothic" w:hAnsi="Arial"/>
      <w:b/>
      <w:bCs/>
      <w:color w:val="201C50"/>
      <w:szCs w:val="22"/>
      <w:lang w:val="en-US" w:eastAsia="en-US"/>
    </w:rPr>
  </w:style>
  <w:style w:type="paragraph" w:customStyle="1" w:styleId="Title1">
    <w:name w:val="Title 1"/>
    <w:basedOn w:val="Normal"/>
    <w:pPr>
      <w:spacing w:line="254" w:lineRule="auto"/>
      <w:jc w:val="both"/>
    </w:pPr>
    <w:rPr>
      <w:rFonts w:ascii="Century Gothic" w:hAnsi="Century Gothic"/>
      <w:b/>
      <w:color w:val="003591"/>
      <w:sz w:val="28"/>
      <w:szCs w:val="28"/>
      <w:lang w:val="en-US" w:eastAsia="fr-FR"/>
    </w:rPr>
  </w:style>
  <w:style w:type="character" w:customStyle="1" w:styleId="Title1Car">
    <w:name w:val="Title 1 Car"/>
    <w:rPr>
      <w:rFonts w:ascii="Century Gothic" w:hAnsi="Century Gothic" w:cs="Arial"/>
      <w:b/>
      <w:color w:val="003591"/>
      <w:sz w:val="28"/>
      <w:szCs w:val="28"/>
      <w:lang w:val="en-US"/>
    </w:rPr>
  </w:style>
  <w:style w:type="paragraph" w:customStyle="1" w:styleId="Title2">
    <w:name w:val="Title 2"/>
    <w:basedOn w:val="Normal"/>
    <w:next w:val="Normal"/>
    <w:pPr>
      <w:spacing w:line="276" w:lineRule="auto"/>
      <w:jc w:val="both"/>
    </w:pPr>
    <w:rPr>
      <w:rFonts w:ascii="Century Gothic" w:hAnsi="Century Gothic"/>
      <w:b/>
      <w:color w:val="003591"/>
      <w:sz w:val="24"/>
      <w:szCs w:val="24"/>
      <w:lang w:val="en-US"/>
    </w:rPr>
  </w:style>
  <w:style w:type="character" w:customStyle="1" w:styleId="Title2Car">
    <w:name w:val="Title 2 Car"/>
    <w:rPr>
      <w:rFonts w:ascii="Century Gothic" w:hAnsi="Century Gothic" w:cs="Arial"/>
      <w:b/>
      <w:color w:val="003591"/>
      <w:sz w:val="24"/>
      <w:szCs w:val="24"/>
      <w:lang w:val="en-US" w:eastAsia="en-US"/>
    </w:rPr>
  </w:style>
  <w:style w:type="paragraph" w:customStyle="1" w:styleId="BulletLead-in1">
    <w:name w:val="Bullet Lead-in 1"/>
    <w:basedOn w:val="Normal"/>
    <w:pPr>
      <w:spacing w:line="254" w:lineRule="auto"/>
      <w:contextualSpacing/>
      <w:jc w:val="both"/>
    </w:pPr>
    <w:rPr>
      <w:rFonts w:ascii="Century Gothic" w:hAnsi="Century Gothic"/>
      <w:b/>
      <w:color w:val="auto"/>
      <w:lang w:val="en-US"/>
    </w:rPr>
  </w:style>
  <w:style w:type="character" w:customStyle="1" w:styleId="BulletLead-in1Car">
    <w:name w:val="Bullet Lead-in 1 Car"/>
    <w:rPr>
      <w:rFonts w:ascii="Century Gothic" w:hAnsi="Century Gothic" w:cs="Arial"/>
      <w:b/>
      <w:lang w:val="en-US" w:eastAsia="en-US"/>
    </w:rPr>
  </w:style>
  <w:style w:type="paragraph" w:customStyle="1" w:styleId="BulletLead-in2">
    <w:name w:val="Bullet Lead-in 2"/>
    <w:basedOn w:val="Normal"/>
    <w:pPr>
      <w:numPr>
        <w:numId w:val="1"/>
      </w:numPr>
    </w:pPr>
    <w:rPr>
      <w:rFonts w:ascii="Century Gothic" w:hAnsi="Century Gothic"/>
      <w:color w:val="auto"/>
    </w:rPr>
  </w:style>
  <w:style w:type="character" w:customStyle="1" w:styleId="BulletLead-in2Car">
    <w:name w:val="Bullet Lead-in 2 Car"/>
    <w:rPr>
      <w:rFonts w:ascii="Century Gothic" w:hAnsi="Century Gothic"/>
      <w:lang w:eastAsia="en-US"/>
    </w:rPr>
  </w:style>
  <w:style w:type="paragraph" w:styleId="TtuloTDC">
    <w:name w:val="TOC Heading"/>
    <w:basedOn w:val="Ttulo1"/>
    <w:next w:val="Normal"/>
    <w:rPr>
      <w:lang w:eastAsia="fr-FR"/>
    </w:rPr>
  </w:style>
  <w:style w:type="paragraph" w:styleId="Textoindependiente">
    <w:name w:val="Body Text"/>
    <w:basedOn w:val="Normal"/>
    <w:pPr>
      <w:spacing w:after="120" w:line="276" w:lineRule="auto"/>
      <w:ind w:left="708"/>
    </w:pPr>
    <w:rPr>
      <w:color w:val="002060"/>
      <w:szCs w:val="22"/>
      <w:lang w:val="en-US"/>
    </w:rPr>
  </w:style>
  <w:style w:type="character" w:customStyle="1" w:styleId="TextoindependienteCar">
    <w:name w:val="Texto independiente Car"/>
    <w:rPr>
      <w:rFonts w:ascii="Arial" w:eastAsia="Arial" w:hAnsi="Arial"/>
      <w:color w:val="002060"/>
      <w:szCs w:val="22"/>
      <w:lang w:val="en-US" w:eastAsia="en-US"/>
    </w:rPr>
  </w:style>
  <w:style w:type="character" w:customStyle="1" w:styleId="EncabezadoCar">
    <w:name w:val="Encabezado Car"/>
    <w:rPr>
      <w:rFonts w:ascii="Century Gothic" w:hAnsi="Century Gothic"/>
      <w:sz w:val="28"/>
      <w:lang w:eastAsia="en-US"/>
    </w:rPr>
  </w:style>
  <w:style w:type="character" w:styleId="Hipervnculo">
    <w:name w:val="Hyperlink"/>
    <w:rPr>
      <w:color w:val="55517B"/>
    </w:rPr>
  </w:style>
  <w:style w:type="paragraph" w:styleId="Textonotaalfinal">
    <w:name w:val="endnote text"/>
    <w:basedOn w:val="Normal"/>
    <w:pPr>
      <w:spacing w:line="240" w:lineRule="auto"/>
      <w:ind w:left="708"/>
    </w:pPr>
    <w:rPr>
      <w:color w:val="002060"/>
      <w:lang w:val="en-US"/>
    </w:rPr>
  </w:style>
  <w:style w:type="character" w:customStyle="1" w:styleId="TextonotaalfinalCar">
    <w:name w:val="Texto nota al final Car"/>
    <w:rPr>
      <w:rFonts w:ascii="Arial" w:eastAsia="Arial" w:hAnsi="Arial"/>
      <w:color w:val="002060"/>
      <w:lang w:val="en-US" w:eastAsia="en-US"/>
    </w:rPr>
  </w:style>
  <w:style w:type="character" w:styleId="Refdenotaalfinal">
    <w:name w:val="endnote reference"/>
    <w:rPr>
      <w:position w:val="0"/>
      <w:vertAlign w:val="superscript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pPr>
      <w:spacing w:after="200" w:line="240" w:lineRule="auto"/>
      <w:ind w:left="708"/>
    </w:pPr>
    <w:rPr>
      <w:color w:val="002060"/>
      <w:lang w:val="en-US"/>
    </w:rPr>
  </w:style>
  <w:style w:type="character" w:customStyle="1" w:styleId="TextocomentarioCar">
    <w:name w:val="Texto comentario Car"/>
    <w:rPr>
      <w:rFonts w:ascii="Arial" w:eastAsia="Arial" w:hAnsi="Arial"/>
      <w:color w:val="002060"/>
      <w:lang w:val="en-US" w:eastAsia="en-U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rFonts w:ascii="Arial" w:eastAsia="Arial" w:hAnsi="Arial"/>
      <w:b/>
      <w:bCs/>
      <w:color w:val="002060"/>
      <w:lang w:val="en-US" w:eastAsia="en-US"/>
    </w:rPr>
  </w:style>
  <w:style w:type="paragraph" w:styleId="Revisin">
    <w:name w:val="Revision"/>
    <w:pPr>
      <w:suppressAutoHyphens/>
    </w:pPr>
    <w:rPr>
      <w:color w:val="002060"/>
      <w:szCs w:val="22"/>
      <w:lang w:val="en-US" w:eastAsia="en-US"/>
    </w:rPr>
  </w:style>
  <w:style w:type="character" w:styleId="Hipervnculovisitado">
    <w:name w:val="FollowedHyperlink"/>
    <w:rPr>
      <w:color w:val="0F004E"/>
      <w:u w:val="single"/>
    </w:rPr>
  </w:style>
  <w:style w:type="paragraph" w:customStyle="1" w:styleId="Tablecaptiontext">
    <w:name w:val="Table caption text"/>
    <w:basedOn w:val="Normal"/>
    <w:pPr>
      <w:spacing w:line="260" w:lineRule="exact"/>
      <w:ind w:right="113"/>
    </w:pPr>
    <w:rPr>
      <w:rFonts w:ascii="Century Gothic" w:hAnsi="Century Gothic"/>
      <w:color w:val="auto"/>
      <w:sz w:val="16"/>
      <w:lang w:val="en-GB" w:eastAsia="fr-FR"/>
    </w:rPr>
  </w:style>
  <w:style w:type="paragraph" w:customStyle="1" w:styleId="Tablecolumntitle">
    <w:name w:val="Table column title"/>
    <w:basedOn w:val="Normal"/>
    <w:pPr>
      <w:spacing w:line="260" w:lineRule="exact"/>
      <w:ind w:left="113" w:right="113"/>
      <w:jc w:val="right"/>
    </w:pPr>
    <w:rPr>
      <w:rFonts w:ascii="Century Gothic" w:hAnsi="Century Gothic"/>
      <w:color w:val="auto"/>
      <w:sz w:val="16"/>
      <w:lang w:val="en-GB" w:eastAsia="fr-FR"/>
    </w:rPr>
  </w:style>
  <w:style w:type="character" w:customStyle="1" w:styleId="BoilerPlateChar">
    <w:name w:val="Boiler Plate Char"/>
    <w:rPr>
      <w:rFonts w:ascii="Century Gothic" w:eastAsia="Calibri" w:hAnsi="Century Gothic" w:cs="Calibri"/>
      <w:sz w:val="16"/>
      <w:szCs w:val="14"/>
      <w:lang w:val="en-US" w:eastAsia="en-US"/>
    </w:rPr>
  </w:style>
  <w:style w:type="paragraph" w:customStyle="1" w:styleId="BoilerPlate">
    <w:name w:val="Boiler Plate"/>
    <w:basedOn w:val="Normal"/>
    <w:pPr>
      <w:spacing w:line="254" w:lineRule="auto"/>
      <w:jc w:val="both"/>
    </w:pPr>
    <w:rPr>
      <w:rFonts w:ascii="Century Gothic" w:eastAsia="Calibri" w:hAnsi="Century Gothic" w:cs="Calibri"/>
      <w:color w:val="auto"/>
      <w:sz w:val="16"/>
      <w:szCs w:val="14"/>
      <w:lang w:val="en-US"/>
    </w:rPr>
  </w:style>
  <w:style w:type="paragraph" w:customStyle="1" w:styleId="Pagefooter">
    <w:name w:val="Page footer"/>
    <w:basedOn w:val="Normal"/>
    <w:pPr>
      <w:spacing w:line="200" w:lineRule="exact"/>
      <w:ind w:right="-199"/>
      <w:jc w:val="right"/>
    </w:pPr>
    <w:rPr>
      <w:color w:val="D52B1E"/>
      <w:sz w:val="12"/>
      <w:lang w:eastAsia="fr-FR"/>
    </w:rPr>
  </w:style>
  <w:style w:type="paragraph" w:customStyle="1" w:styleId="Title3">
    <w:name w:val="Title 3"/>
    <w:basedOn w:val="Normal"/>
    <w:pPr>
      <w:spacing w:line="254" w:lineRule="auto"/>
    </w:pPr>
    <w:rPr>
      <w:rFonts w:ascii="Century Gothic" w:hAnsi="Century Gothic"/>
      <w:b/>
      <w:color w:val="003591"/>
      <w:lang w:val="en-US"/>
    </w:rPr>
  </w:style>
  <w:style w:type="character" w:customStyle="1" w:styleId="Title3Car">
    <w:name w:val="Title 3 Car"/>
    <w:basedOn w:val="Fuentedeprrafopredeter"/>
    <w:rPr>
      <w:rFonts w:ascii="Century Gothic" w:hAnsi="Century Gothic" w:cs="Arial"/>
      <w:b/>
      <w:color w:val="003591"/>
      <w:lang w:val="en-US" w:eastAsia="en-US"/>
    </w:rPr>
  </w:style>
  <w:style w:type="paragraph" w:customStyle="1" w:styleId="Lead-in">
    <w:name w:val="Lead-in"/>
    <w:basedOn w:val="Text"/>
  </w:style>
  <w:style w:type="character" w:customStyle="1" w:styleId="Lead-inCar">
    <w:name w:val="Lead-in Car"/>
    <w:basedOn w:val="TextCar"/>
    <w:rPr>
      <w:rFonts w:ascii="Century Gothic" w:hAnsi="Century Gothic" w:cs="Arial"/>
      <w:lang w:val="en-US" w:eastAsia="en-US"/>
    </w:rPr>
  </w:style>
  <w:style w:type="paragraph" w:customStyle="1" w:styleId="BoxBullet1">
    <w:name w:val="Box Bullet 1"/>
    <w:pPr>
      <w:numPr>
        <w:numId w:val="2"/>
      </w:numPr>
      <w:suppressAutoHyphens/>
    </w:pPr>
    <w:rPr>
      <w:rFonts w:ascii="Century Gothic" w:hAnsi="Century Gothic"/>
      <w:b/>
      <w:color w:val="003591"/>
      <w:lang w:val="en-U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BoxBullet2">
    <w:name w:val="Box Bullet 2"/>
    <w:pPr>
      <w:tabs>
        <w:tab w:val="num" w:pos="720"/>
      </w:tabs>
      <w:suppressAutoHyphens/>
      <w:ind w:left="720" w:hanging="720"/>
    </w:pPr>
    <w:rPr>
      <w:rFonts w:ascii="Century Gothic" w:hAnsi="Century Gothic"/>
      <w:lang w:eastAsia="en-US"/>
    </w:rPr>
  </w:style>
  <w:style w:type="character" w:customStyle="1" w:styleId="PrrafodelistaCar">
    <w:name w:val="Párrafo de lista Car"/>
    <w:rPr>
      <w:rFonts w:ascii="Arial" w:hAnsi="Arial"/>
      <w:color w:val="11204C"/>
      <w:lang w:eastAsia="en-US"/>
    </w:rPr>
  </w:style>
  <w:style w:type="paragraph" w:styleId="NormalWeb">
    <w:name w:val="Normal (Web)"/>
    <w:basedOn w:val="Normal"/>
    <w:uiPriority w:val="99"/>
    <w:pPr>
      <w:spacing w:line="240" w:lineRule="auto"/>
    </w:pPr>
    <w:rPr>
      <w:rFonts w:ascii="Calibri" w:eastAsia="Century Gothic" w:hAnsi="Calibri" w:cs="Calibri"/>
      <w:color w:val="auto"/>
      <w:sz w:val="22"/>
      <w:szCs w:val="22"/>
      <w:lang w:val="en-US" w:eastAsia="fr-FR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hAnsi="Times New Roman"/>
      <w:color w:val="auto"/>
      <w:sz w:val="24"/>
      <w:szCs w:val="24"/>
      <w:lang w:eastAsia="fr-FR"/>
    </w:rPr>
  </w:style>
  <w:style w:type="character" w:customStyle="1" w:styleId="normaltextrun">
    <w:name w:val="normaltextrun"/>
    <w:basedOn w:val="Fuentedeprrafopredeter"/>
  </w:style>
  <w:style w:type="character" w:customStyle="1" w:styleId="eop">
    <w:name w:val="eop"/>
    <w:basedOn w:val="Fuentedeprrafopredeter"/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numbering" w:customStyle="1" w:styleId="LFO10">
    <w:name w:val="LFO10"/>
    <w:basedOn w:val="Sinlista"/>
  </w:style>
  <w:style w:type="numbering" w:customStyle="1" w:styleId="LFO19">
    <w:name w:val="LFO19"/>
    <w:basedOn w:val="Sinlista"/>
  </w:style>
  <w:style w:type="numbering" w:customStyle="1" w:styleId="LFO20">
    <w:name w:val="LFO20"/>
    <w:basedOn w:val="Sinlist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Ind w:w="0" w:type="nil"/>
      <w:tblCellMar>
        <w:left w:w="10" w:type="dxa"/>
        <w:right w:w="10" w:type="dxa"/>
      </w:tblCellMar>
    </w:tblPr>
  </w:style>
  <w:style w:type="table" w:customStyle="1" w:styleId="TableNormal1">
    <w:name w:val="Table Normal1"/>
    <w:rsid w:val="007A462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ennegrita">
    <w:name w:val="Strong"/>
    <w:basedOn w:val="Fuentedeprrafopredeter"/>
    <w:uiPriority w:val="22"/>
    <w:qFormat/>
    <w:rsid w:val="00352B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orbes.es/economia/879799/edenred-logra-un-beneficio-record-de-521-millones-de-euros-en-2025-un-28-mas-y-eleva-un-10-el-dividendo/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rldefense.com/v3/__https:/factorhumano.es/jovenes-bienestar-empresa-ambiente-laboral/__;!!EyGG_rL3!EmTnJFp4Q1KDXcJz7sQI8TCwLl_K83cUrhtKg7ay5fIgX3QukHQxu9MAX41uVJO54ncZcy6W7qQmmuuZPQN3fX9CZzb91SzPgBs$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rhhdigital.com/secciones/actualidad/790204/edenred-logra-un-beneficio-neto-record-de-521-millones-de-euros-en-2025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quipo.edenred@newlink-group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rrhhdigital.com/secciones/actualidad/790204/edenred-logra-un-beneficio-neto-record-de-521-millones-de-euros-en-2025/" TargetMode="External"/><Relationship Id="rId10" Type="http://schemas.openxmlformats.org/officeDocument/2006/relationships/hyperlink" Target="mailto:alejandro.delgadosanchez@edenred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europapress.es/economia/finanzas-00340/noticia-edenred-logra-beneficio-record-521-millones-euros-2025-28-mas-eleva-10-dividendo-20260225115040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A4bHXuFG8ZK1f8jUvsxeC2OwKQ==">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</go:docsCustomData>
</go:gDocsCustomXmlDataStorage>
</file>

<file path=customXml/itemProps1.xml><?xml version="1.0" encoding="utf-8"?>
<ds:datastoreItem xmlns:ds="http://schemas.openxmlformats.org/officeDocument/2006/customXml" ds:itemID="{83E9E377-345F-4939-92A3-1C3ED797E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1314</Words>
  <Characters>8308</Characters>
  <Application>Microsoft Office Word</Application>
  <DocSecurity>0</DocSecurity>
  <Lines>69</Lines>
  <Paragraphs>19</Paragraphs>
  <ScaleCrop>false</ScaleCrop>
  <Company/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COURTOIS Cécile</dc:creator>
  <cp:keywords/>
  <cp:lastModifiedBy>SÁNCHEZ Míriam</cp:lastModifiedBy>
  <cp:revision>322</cp:revision>
  <dcterms:created xsi:type="dcterms:W3CDTF">2025-06-05T04:13:00Z</dcterms:created>
  <dcterms:modified xsi:type="dcterms:W3CDTF">2026-07-21T06:55:00Z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0x010100C507B8DFC332A440B799D44257F07BA7</vt:lpwstr>
  </property>
  <property fmtid="{D5CDD505-2E9C-101B-9397-08002B2CF9AE}" pid="3" name="GrammarlyDocumentId">
    <vt:lpwstr>797d063b200a87c27582bd0be5c9c9e5374e71033a601ec6e631990873192edf</vt:lpwstr>
  </property>
  <property fmtid="{D5CDD505-2E9C-101B-9397-08002B2CF9AE}" pid="4" name="MSIP_Label_16091971-b0ef-48f5-bce1-a3196e01ad58_Enabled">
    <vt:lpwstr>true</vt:lpwstr>
  </property>
  <property fmtid="{D5CDD505-2E9C-101B-9397-08002B2CF9AE}" pid="5" name="MSIP_Label_16091971-b0ef-48f5-bce1-a3196e01ad58_SetDate">
    <vt:lpwstr>2026-07-21T06:50:36Z</vt:lpwstr>
  </property>
  <property fmtid="{D5CDD505-2E9C-101B-9397-08002B2CF9AE}" pid="6" name="MSIP_Label_16091971-b0ef-48f5-bce1-a3196e01ad58_Method">
    <vt:lpwstr>Privileged</vt:lpwstr>
  </property>
  <property fmtid="{D5CDD505-2E9C-101B-9397-08002B2CF9AE}" pid="7" name="MSIP_Label_16091971-b0ef-48f5-bce1-a3196e01ad58_Name">
    <vt:lpwstr>C2 – Internal</vt:lpwstr>
  </property>
  <property fmtid="{D5CDD505-2E9C-101B-9397-08002B2CF9AE}" pid="8" name="MSIP_Label_16091971-b0ef-48f5-bce1-a3196e01ad58_SiteId">
    <vt:lpwstr>4c1d9e0f-5c27-4228-a35a-de7b4083ff7b</vt:lpwstr>
  </property>
  <property fmtid="{D5CDD505-2E9C-101B-9397-08002B2CF9AE}" pid="9" name="MSIP_Label_16091971-b0ef-48f5-bce1-a3196e01ad58_ActionId">
    <vt:lpwstr>9157e2ae-f2af-4e41-9700-6cc6d1b5e77a</vt:lpwstr>
  </property>
  <property fmtid="{D5CDD505-2E9C-101B-9397-08002B2CF9AE}" pid="10" name="MSIP_Label_16091971-b0ef-48f5-bce1-a3196e01ad58_ContentBits">
    <vt:lpwstr>0</vt:lpwstr>
  </property>
  <property fmtid="{D5CDD505-2E9C-101B-9397-08002B2CF9AE}" pid="11" name="MSIP_Label_16091971-b0ef-48f5-bce1-a3196e01ad58_Tag">
    <vt:lpwstr>10, 0, 1, 1</vt:lpwstr>
  </property>
</Properties>
</file>