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833D4F" w:rsidR="0034131E" w:rsidRDefault="00054F03" w14:paraId="09D763F1" w14:textId="26030313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right" w:pos="8504"/>
        </w:tabs>
        <w:spacing w:line="254" w:lineRule="auto"/>
        <w:jc w:val="right"/>
        <w:rPr>
          <w:rFonts w:ascii="Century Gothic" w:hAnsi="Century Gothic" w:eastAsia="Century Gothic" w:cs="Century Gothic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CF9CF7E" wp14:editId="1F513E53">
            <wp:simplePos x="0" y="0"/>
            <wp:positionH relativeFrom="column">
              <wp:posOffset>-19431</wp:posOffset>
            </wp:positionH>
            <wp:positionV relativeFrom="paragraph">
              <wp:posOffset>-343840</wp:posOffset>
            </wp:positionV>
            <wp:extent cx="1345997" cy="833933"/>
            <wp:effectExtent l="0" t="0" r="6985" b="4445"/>
            <wp:wrapNone/>
            <wp:docPr id="827937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242" cy="83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D4F" w:rsidR="00E660F9">
        <w:rPr>
          <w:rFonts w:ascii="Century Gothic" w:hAnsi="Century Gothic" w:eastAsia="Century Gothic" w:cs="Century Gothic"/>
          <w:b/>
          <w:color w:val="000000"/>
          <w:sz w:val="28"/>
          <w:szCs w:val="28"/>
          <w:lang w:val="es-ES"/>
        </w:rPr>
        <w:t>Nota de prensa</w:t>
      </w:r>
    </w:p>
    <w:p w:rsidRPr="00833D4F" w:rsidR="0034131E" w:rsidRDefault="0088228D" w14:paraId="2721C22F" w14:textId="6E54ED6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right"/>
        <w:rPr>
          <w:rFonts w:ascii="Century Gothic" w:hAnsi="Century Gothic" w:eastAsia="Century Gothic" w:cs="Century Gothic"/>
          <w:color w:val="000000"/>
          <w:sz w:val="28"/>
          <w:szCs w:val="28"/>
          <w:lang w:val="es-ES"/>
        </w:rPr>
      </w:pPr>
      <w:r>
        <w:rPr>
          <w:rFonts w:ascii="Century Gothic" w:hAnsi="Century Gothic" w:eastAsia="Century Gothic" w:cs="Century Gothic"/>
          <w:color w:val="000000"/>
          <w:sz w:val="22"/>
          <w:szCs w:val="22"/>
          <w:lang w:val="es-ES"/>
        </w:rPr>
        <w:t>2</w:t>
      </w:r>
      <w:r w:rsidR="00203447">
        <w:rPr>
          <w:rFonts w:ascii="Century Gothic" w:hAnsi="Century Gothic" w:eastAsia="Century Gothic" w:cs="Century Gothic"/>
          <w:color w:val="000000"/>
          <w:sz w:val="22"/>
          <w:szCs w:val="22"/>
          <w:lang w:val="es-ES"/>
        </w:rPr>
        <w:t>5</w:t>
      </w:r>
      <w:r w:rsidR="00F71D13">
        <w:rPr>
          <w:rFonts w:ascii="Century Gothic" w:hAnsi="Century Gothic" w:eastAsia="Century Gothic" w:cs="Century Gothic"/>
          <w:color w:val="000000"/>
          <w:sz w:val="22"/>
          <w:szCs w:val="22"/>
          <w:lang w:val="es-ES"/>
        </w:rPr>
        <w:t xml:space="preserve"> </w:t>
      </w:r>
      <w:r w:rsidRPr="00833D4F" w:rsidR="00E660F9">
        <w:rPr>
          <w:rFonts w:ascii="Century Gothic" w:hAnsi="Century Gothic" w:eastAsia="Century Gothic" w:cs="Century Gothic"/>
          <w:color w:val="000000"/>
          <w:sz w:val="22"/>
          <w:szCs w:val="22"/>
          <w:lang w:val="es-ES"/>
        </w:rPr>
        <w:t xml:space="preserve">de </w:t>
      </w:r>
      <w:r w:rsidR="007C7B55">
        <w:rPr>
          <w:rFonts w:ascii="Century Gothic" w:hAnsi="Century Gothic" w:eastAsia="Century Gothic" w:cs="Century Gothic"/>
          <w:color w:val="000000"/>
          <w:sz w:val="22"/>
          <w:szCs w:val="22"/>
          <w:lang w:val="es-ES"/>
        </w:rPr>
        <w:t>febrero</w:t>
      </w:r>
      <w:r w:rsidRPr="00833D4F" w:rsidR="00E660F9">
        <w:rPr>
          <w:rFonts w:ascii="Century Gothic" w:hAnsi="Century Gothic" w:eastAsia="Century Gothic" w:cs="Century Gothic"/>
          <w:color w:val="000000"/>
          <w:sz w:val="22"/>
          <w:szCs w:val="22"/>
          <w:lang w:val="es-ES"/>
        </w:rPr>
        <w:t xml:space="preserve"> de 202</w:t>
      </w:r>
      <w:r w:rsidR="00316012">
        <w:rPr>
          <w:rFonts w:ascii="Century Gothic" w:hAnsi="Century Gothic" w:eastAsia="Century Gothic" w:cs="Century Gothic"/>
          <w:color w:val="000000"/>
          <w:sz w:val="22"/>
          <w:szCs w:val="22"/>
          <w:lang w:val="es-ES"/>
        </w:rPr>
        <w:t>6</w:t>
      </w:r>
    </w:p>
    <w:p w:rsidRPr="00833D4F" w:rsidR="0034131E" w:rsidRDefault="0034131E" w14:paraId="5523504D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9" w:hanging="709"/>
        <w:jc w:val="center"/>
        <w:rPr>
          <w:rFonts w:ascii="Century Gothic" w:hAnsi="Century Gothic" w:eastAsia="Century Gothic" w:cs="Century Gothic"/>
          <w:color w:val="162056"/>
          <w:sz w:val="48"/>
          <w:szCs w:val="48"/>
          <w:lang w:val="es-ES"/>
        </w:rPr>
      </w:pPr>
    </w:p>
    <w:p w:rsidRPr="00CB5AED" w:rsidR="00CB5AED" w:rsidP="00B127EA" w:rsidRDefault="00CB5AED" w14:paraId="5EB22A07" w14:textId="4BF45E5F">
      <w:pPr>
        <w:pStyle w:val="BulletLead-in2"/>
        <w:numPr>
          <w:ilvl w:val="0"/>
          <w:numId w:val="0"/>
        </w:numPr>
        <w:jc w:val="center"/>
        <w:rPr>
          <w:rFonts w:cs="Century Gothic"/>
          <w:b/>
          <w:bCs/>
          <w:color w:val="000000" w:themeColor="text1"/>
          <w:sz w:val="32"/>
          <w:szCs w:val="32"/>
          <w:lang w:val="es-ES"/>
        </w:rPr>
      </w:pPr>
      <w:r w:rsidRPr="00CB5AED">
        <w:rPr>
          <w:rFonts w:cs="Century Gothic"/>
          <w:b/>
          <w:bCs/>
          <w:color w:val="000000" w:themeColor="text1"/>
          <w:sz w:val="32"/>
          <w:szCs w:val="32"/>
          <w:lang w:val="es-ES"/>
        </w:rPr>
        <w:t>Resultados Edenred 2025</w:t>
      </w:r>
    </w:p>
    <w:p w:rsidR="009D71F7" w:rsidP="00B127EA" w:rsidRDefault="003242B0" w14:paraId="42A082B9" w14:textId="7F8C6A16">
      <w:pPr>
        <w:pStyle w:val="BulletLead-in2"/>
        <w:numPr>
          <w:ilvl w:val="0"/>
          <w:numId w:val="0"/>
        </w:numPr>
        <w:jc w:val="center"/>
        <w:rPr>
          <w:rFonts w:cs="Century Gothic"/>
          <w:color w:val="000000" w:themeColor="text1"/>
          <w:sz w:val="44"/>
          <w:szCs w:val="44"/>
          <w:lang w:val="es-ES"/>
        </w:rPr>
      </w:pPr>
      <w:r w:rsidRPr="003242B0">
        <w:rPr>
          <w:rFonts w:cs="Century Gothic"/>
          <w:color w:val="000000" w:themeColor="text1"/>
          <w:sz w:val="44"/>
          <w:szCs w:val="44"/>
          <w:lang w:val="es-ES"/>
        </w:rPr>
        <w:t xml:space="preserve">Edenred </w:t>
      </w:r>
      <w:r w:rsidR="0033161C">
        <w:rPr>
          <w:rFonts w:cs="Century Gothic"/>
          <w:color w:val="000000" w:themeColor="text1"/>
          <w:sz w:val="44"/>
          <w:szCs w:val="44"/>
          <w:lang w:val="es-ES"/>
        </w:rPr>
        <w:t xml:space="preserve">logra un beneficio neto récord de </w:t>
      </w:r>
      <w:r w:rsidRPr="0033161C" w:rsidR="0033161C">
        <w:rPr>
          <w:rFonts w:cs="Century Gothic"/>
          <w:color w:val="000000" w:themeColor="text1"/>
          <w:sz w:val="44"/>
          <w:szCs w:val="44"/>
          <w:lang w:val="es-ES"/>
        </w:rPr>
        <w:t>521 millones de euros</w:t>
      </w:r>
      <w:r w:rsidR="0033161C">
        <w:rPr>
          <w:rFonts w:cs="Century Gothic"/>
          <w:color w:val="000000" w:themeColor="text1"/>
          <w:sz w:val="44"/>
          <w:szCs w:val="44"/>
          <w:lang w:val="es-ES"/>
        </w:rPr>
        <w:t xml:space="preserve"> en 2025</w:t>
      </w:r>
    </w:p>
    <w:p w:rsidRPr="009D71F7" w:rsidR="00CB702A" w:rsidP="000B15B7" w:rsidRDefault="00CB702A" w14:paraId="6D2565DF" w14:textId="77777777">
      <w:pPr>
        <w:pStyle w:val="BulletLead-in2"/>
        <w:numPr>
          <w:ilvl w:val="0"/>
          <w:numId w:val="0"/>
        </w:numPr>
        <w:jc w:val="both"/>
        <w:rPr>
          <w:b/>
          <w:bCs/>
          <w:lang w:val="es-ES"/>
        </w:rPr>
      </w:pPr>
    </w:p>
    <w:p w:rsidR="00E96913" w:rsidP="00E96913" w:rsidRDefault="00504A98" w14:paraId="0DC83B4E" w14:textId="77777777">
      <w:pPr>
        <w:pStyle w:val="BulletLead-in2"/>
        <w:ind w:left="360"/>
        <w:jc w:val="both"/>
        <w:rPr>
          <w:rFonts w:cs="Century Gothic"/>
          <w:b/>
          <w:bCs/>
          <w:lang w:val="es-ES"/>
        </w:rPr>
      </w:pPr>
      <w:r w:rsidRPr="00504A98">
        <w:rPr>
          <w:rFonts w:cs="Century Gothic"/>
          <w:b/>
          <w:bCs/>
          <w:lang w:val="es-ES"/>
        </w:rPr>
        <w:t>La compañía alcanza unos ingresos de 3.000 millones de euros y acelera su crecimiento en el último trimestre, con un avance del 9,7 %</w:t>
      </w:r>
    </w:p>
    <w:p w:rsidR="00E96913" w:rsidP="00E96913" w:rsidRDefault="00E96913" w14:paraId="3ECC8CB9" w14:textId="77777777">
      <w:pPr>
        <w:pStyle w:val="BulletLead-in2"/>
        <w:numPr>
          <w:ilvl w:val="0"/>
          <w:numId w:val="0"/>
        </w:numPr>
        <w:ind w:left="360"/>
        <w:jc w:val="both"/>
        <w:rPr>
          <w:rFonts w:cs="Century Gothic"/>
          <w:b/>
          <w:bCs/>
          <w:lang w:val="es-ES"/>
        </w:rPr>
      </w:pPr>
    </w:p>
    <w:p w:rsidRPr="00E96913" w:rsidR="00E96913" w:rsidP="00E96913" w:rsidRDefault="00E96913" w14:paraId="3BF03CBE" w14:textId="1C9EA90E">
      <w:pPr>
        <w:pStyle w:val="BulletLead-in2"/>
        <w:ind w:left="360"/>
        <w:jc w:val="both"/>
        <w:rPr>
          <w:rFonts w:cs="Century Gothic"/>
          <w:b/>
          <w:bCs/>
          <w:lang w:val="es-ES"/>
        </w:rPr>
      </w:pPr>
      <w:r w:rsidRPr="00E96913">
        <w:rPr>
          <w:b/>
          <w:bCs/>
          <w:lang w:val="es-ES" w:eastAsia="es-ES"/>
        </w:rPr>
        <w:t xml:space="preserve">Edenred incrementa la retribución al accionista y entra en 2026 con bases sólidas para ejecutar su plan estratégico </w:t>
      </w:r>
      <w:proofErr w:type="spellStart"/>
      <w:r w:rsidRPr="00E96913">
        <w:rPr>
          <w:b/>
          <w:bCs/>
          <w:lang w:val="es-ES" w:eastAsia="es-ES"/>
        </w:rPr>
        <w:t>Amplify</w:t>
      </w:r>
      <w:proofErr w:type="spellEnd"/>
      <w:r w:rsidRPr="00E96913">
        <w:rPr>
          <w:b/>
          <w:bCs/>
          <w:lang w:val="es-ES" w:eastAsia="es-ES"/>
        </w:rPr>
        <w:t xml:space="preserve"> 25-28.</w:t>
      </w:r>
    </w:p>
    <w:p w:rsidRPr="00504A98" w:rsidR="000B15B7" w:rsidP="00504A98" w:rsidRDefault="000B15B7" w14:paraId="12F1DA17" w14:textId="6E6BB44A">
      <w:pPr>
        <w:pStyle w:val="BulletLead-in2"/>
        <w:numPr>
          <w:ilvl w:val="0"/>
          <w:numId w:val="0"/>
        </w:numPr>
        <w:jc w:val="both"/>
        <w:rPr>
          <w:rFonts w:cs="Century Gothic"/>
          <w:b/>
          <w:bCs/>
        </w:rPr>
      </w:pPr>
    </w:p>
    <w:p w:rsidR="00E06DEB" w:rsidP="00E06DEB" w:rsidRDefault="00E06DEB" w14:paraId="6D851E7D" w14:textId="77777777">
      <w:pPr>
        <w:jc w:val="both"/>
        <w:rPr>
          <w:rFonts w:ascii="Century Gothic" w:hAnsi="Century Gothic" w:eastAsia="Century Gothic" w:cs="Century Gothic"/>
          <w:b/>
          <w:bCs/>
          <w:color w:val="auto"/>
          <w:lang w:val="es-ES"/>
        </w:rPr>
      </w:pPr>
    </w:p>
    <w:p w:rsidR="00E06DEB" w:rsidP="00766BAF" w:rsidRDefault="003242B0" w14:paraId="0B135AE9" w14:textId="77777777">
      <w:pPr>
        <w:pStyle w:val="Prrafodelista"/>
        <w:numPr>
          <w:ilvl w:val="0"/>
          <w:numId w:val="12"/>
        </w:numPr>
        <w:ind w:left="360"/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E06DEB">
        <w:rPr>
          <w:rFonts w:ascii="Century Gothic" w:hAnsi="Century Gothic" w:eastAsia="Century Gothic" w:cs="Century Gothic"/>
          <w:b/>
          <w:bCs/>
          <w:color w:val="auto"/>
          <w:lang w:val="es-ES"/>
        </w:rPr>
        <w:t>Crecimiento orgánico del EBITDA del 11,2 % en 2025</w:t>
      </w:r>
      <w:r w:rsidRPr="00E06DEB">
        <w:rPr>
          <w:rFonts w:ascii="Century Gothic" w:hAnsi="Century Gothic" w:eastAsia="Century Gothic" w:cs="Century Gothic"/>
          <w:color w:val="auto"/>
          <w:lang w:val="es-ES"/>
        </w:rPr>
        <w:t xml:space="preserve"> (frente a un objetivo superior al 10 %)</w:t>
      </w:r>
    </w:p>
    <w:p w:rsidRPr="00E06DEB" w:rsidR="00E06DEB" w:rsidP="00766BAF" w:rsidRDefault="00E06DEB" w14:paraId="21D9B2DE" w14:textId="77777777">
      <w:pPr>
        <w:pStyle w:val="Prrafodelista"/>
        <w:ind w:left="36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E06DEB" w:rsidR="003242B0" w:rsidP="00766BAF" w:rsidRDefault="003242B0" w14:paraId="060DFB52" w14:textId="211FD390">
      <w:pPr>
        <w:pStyle w:val="Prrafodelista"/>
        <w:numPr>
          <w:ilvl w:val="0"/>
          <w:numId w:val="12"/>
        </w:numPr>
        <w:ind w:left="360"/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E06DEB">
        <w:rPr>
          <w:rFonts w:ascii="Century Gothic" w:hAnsi="Century Gothic" w:eastAsia="Century Gothic" w:cs="Century Gothic"/>
          <w:b/>
          <w:bCs/>
          <w:color w:val="auto"/>
          <w:lang w:val="es-ES"/>
        </w:rPr>
        <w:t>Tasa de conversión de flujo de caja libre/EBITDA del 82 %</w:t>
      </w:r>
      <w:r w:rsidR="006F503B">
        <w:rPr>
          <w:rStyle w:val="Refdenotaalpie"/>
          <w:rFonts w:ascii="Century Gothic" w:hAnsi="Century Gothic" w:eastAsia="Century Gothic" w:cs="Century Gothic"/>
          <w:b/>
          <w:bCs/>
          <w:color w:val="auto"/>
          <w:lang w:val="es-ES"/>
        </w:rPr>
        <w:footnoteReference w:id="1"/>
      </w:r>
      <w:r w:rsidRPr="00E06DEB">
        <w:rPr>
          <w:rFonts w:ascii="Century Gothic" w:hAnsi="Century Gothic" w:eastAsia="Century Gothic" w:cs="Century Gothic"/>
          <w:color w:val="auto"/>
          <w:lang w:val="es-ES"/>
        </w:rPr>
        <w:t xml:space="preserve"> (frente a un objetivo superior al 70 %)</w:t>
      </w:r>
    </w:p>
    <w:p w:rsidRPr="003242B0" w:rsidR="00025F0A" w:rsidP="00025F0A" w:rsidRDefault="00025F0A" w14:paraId="6350D278" w14:textId="77777777">
      <w:pPr>
        <w:ind w:left="36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A367C9" w:rsidR="003242B0" w:rsidP="003242B0" w:rsidRDefault="003242B0" w14:paraId="616F3242" w14:textId="77777777">
      <w:pPr>
        <w:jc w:val="both"/>
        <w:rPr>
          <w:rFonts w:ascii="Century Gothic" w:hAnsi="Century Gothic" w:eastAsia="Century Gothic" w:cs="Century Gothic"/>
          <w:b/>
          <w:bCs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Edenred registra un sólido desempeño comercial y operativo y presenta resultados récord en 2025:</w:t>
      </w:r>
    </w:p>
    <w:p w:rsidRPr="003242B0" w:rsidR="00025F0A" w:rsidP="003242B0" w:rsidRDefault="00025F0A" w14:paraId="61EB57C1" w14:textId="77777777">
      <w:pPr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E06DEB" w:rsidR="003242B0" w:rsidP="00766BAF" w:rsidRDefault="003242B0" w14:paraId="01E7F408" w14:textId="66BABA4C">
      <w:pPr>
        <w:pStyle w:val="Prrafodelista"/>
        <w:numPr>
          <w:ilvl w:val="0"/>
          <w:numId w:val="12"/>
        </w:numPr>
        <w:ind w:left="360"/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E06DEB">
        <w:rPr>
          <w:rFonts w:ascii="Century Gothic" w:hAnsi="Century Gothic" w:eastAsia="Century Gothic" w:cs="Century Gothic"/>
          <w:b/>
          <w:bCs/>
          <w:color w:val="auto"/>
          <w:lang w:val="es-ES"/>
        </w:rPr>
        <w:t>Ingresos totales de 3.000 millones de euros</w:t>
      </w:r>
      <w:r w:rsidRPr="00E06DEB">
        <w:rPr>
          <w:rFonts w:ascii="Century Gothic" w:hAnsi="Century Gothic" w:eastAsia="Century Gothic" w:cs="Century Gothic"/>
          <w:color w:val="auto"/>
          <w:lang w:val="es-ES"/>
        </w:rPr>
        <w:t>, un 5,7 % más en términos comparables y un 3,7 % más en cifras reportadas frente a 2024:</w:t>
      </w:r>
    </w:p>
    <w:p w:rsidRPr="003242B0" w:rsidR="00025F0A" w:rsidP="00766BAF" w:rsidRDefault="00025F0A" w14:paraId="3941C3EC" w14:textId="77777777">
      <w:pPr>
        <w:ind w:left="36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3242B0" w:rsidR="003242B0" w:rsidP="00766BAF" w:rsidRDefault="003242B0" w14:paraId="3A899985" w14:textId="77777777">
      <w:pPr>
        <w:numPr>
          <w:ilvl w:val="1"/>
          <w:numId w:val="10"/>
        </w:numPr>
        <w:tabs>
          <w:tab w:val="clear" w:pos="1440"/>
          <w:tab w:val="num" w:pos="1080"/>
        </w:tabs>
        <w:ind w:left="1080"/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Ingresos operativos de 2.732 millones de euros</w:t>
      </w:r>
      <w:r w:rsidRPr="003242B0">
        <w:rPr>
          <w:rFonts w:ascii="Century Gothic" w:hAnsi="Century Gothic" w:eastAsia="Century Gothic" w:cs="Century Gothic"/>
          <w:color w:val="auto"/>
          <w:lang w:val="es-ES"/>
        </w:rPr>
        <w:t>, un 6,2 % más en términos comparables y un 4,7 % más en cifras reportadas, pese al impacto del cambio regulatorio en Italia.</w:t>
      </w:r>
    </w:p>
    <w:p w:rsidRPr="003242B0" w:rsidR="003242B0" w:rsidP="00766BAF" w:rsidRDefault="003242B0" w14:paraId="4BD34927" w14:textId="77777777">
      <w:pPr>
        <w:numPr>
          <w:ilvl w:val="1"/>
          <w:numId w:val="10"/>
        </w:numPr>
        <w:tabs>
          <w:tab w:val="clear" w:pos="1440"/>
          <w:tab w:val="num" w:pos="1080"/>
        </w:tabs>
        <w:ind w:left="1080"/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Aceleración de los ingresos operativos en el cuarto trimestre de 2025, con un </w:t>
      </w: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crecimiento del 9,7 % en términos comparables frente al cuarto trimestre de 2024</w:t>
      </w:r>
      <w:r w:rsidRPr="003242B0">
        <w:rPr>
          <w:rFonts w:ascii="Century Gothic" w:hAnsi="Century Gothic" w:eastAsia="Century Gothic" w:cs="Century Gothic"/>
          <w:color w:val="auto"/>
          <w:lang w:val="es-ES"/>
        </w:rPr>
        <w:t>, excluyendo el impacto del cambio regulatorio en Italia.</w:t>
      </w:r>
    </w:p>
    <w:p w:rsidR="003242B0" w:rsidP="00766BAF" w:rsidRDefault="003242B0" w14:paraId="03AA32BD" w14:textId="77777777">
      <w:pPr>
        <w:numPr>
          <w:ilvl w:val="1"/>
          <w:numId w:val="10"/>
        </w:numPr>
        <w:tabs>
          <w:tab w:val="clear" w:pos="1440"/>
          <w:tab w:val="num" w:pos="1080"/>
        </w:tabs>
        <w:ind w:left="1080"/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Otros </w:t>
      </w: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ingresos de 229 millones de euros, un 1,0 % más</w:t>
      </w: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 en términos comparables, impulsados por el aumento del </w:t>
      </w:r>
      <w:proofErr w:type="spellStart"/>
      <w:r w:rsidRPr="003242B0">
        <w:rPr>
          <w:rFonts w:ascii="Century Gothic" w:hAnsi="Century Gothic" w:eastAsia="Century Gothic" w:cs="Century Gothic"/>
          <w:color w:val="auto"/>
          <w:lang w:val="es-ES"/>
        </w:rPr>
        <w:t>float</w:t>
      </w:r>
      <w:proofErr w:type="spellEnd"/>
      <w:r w:rsidRPr="003242B0">
        <w:rPr>
          <w:rFonts w:ascii="Century Gothic" w:hAnsi="Century Gothic" w:eastAsia="Century Gothic" w:cs="Century Gothic"/>
          <w:color w:val="auto"/>
          <w:lang w:val="es-ES"/>
        </w:rPr>
        <w:t>.</w:t>
      </w:r>
    </w:p>
    <w:p w:rsidRPr="003242B0" w:rsidR="00025F0A" w:rsidP="00025F0A" w:rsidRDefault="00025F0A" w14:paraId="20F16005" w14:textId="77777777">
      <w:pPr>
        <w:ind w:left="144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E06DEB" w:rsidR="003242B0" w:rsidP="524D17EB" w:rsidRDefault="003242B0" w14:paraId="336940C5" w14:textId="48C29CB0">
      <w:pPr>
        <w:pStyle w:val="Prrafodelista"/>
        <w:numPr>
          <w:ilvl w:val="0"/>
          <w:numId w:val="12"/>
        </w:numPr>
        <w:ind w:left="360"/>
        <w:jc w:val="both"/>
        <w:rPr>
          <w:rFonts w:ascii="Century Gothic" w:hAnsi="Century Gothic" w:eastAsia="Century Gothic" w:cs="Century Gothic"/>
          <w:color w:val="auto"/>
          <w:lang w:val="fr-FR"/>
        </w:rPr>
      </w:pPr>
      <w:r w:rsidRPr="524D17EB" w:rsidR="003242B0">
        <w:rPr>
          <w:rFonts w:ascii="Century Gothic" w:hAnsi="Century Gothic" w:eastAsia="Century Gothic" w:cs="Century Gothic"/>
          <w:b w:val="1"/>
          <w:bCs w:val="1"/>
          <w:color w:val="auto"/>
          <w:lang w:val="fr-FR"/>
        </w:rPr>
        <w:t>EBITDA de 1.360 millones de euros, un 11,2 % más en términos comparables</w:t>
      </w:r>
      <w:r w:rsidRPr="524D17EB" w:rsidR="003242B0">
        <w:rPr>
          <w:rFonts w:ascii="Century Gothic" w:hAnsi="Century Gothic" w:eastAsia="Century Gothic" w:cs="Century Gothic"/>
          <w:color w:val="auto"/>
          <w:lang w:val="fr-FR"/>
        </w:rPr>
        <w:t xml:space="preserve"> y </w:t>
      </w:r>
      <w:r w:rsidRPr="524D17EB" w:rsidR="003242B0">
        <w:rPr>
          <w:rFonts w:ascii="Century Gothic" w:hAnsi="Century Gothic" w:eastAsia="Century Gothic" w:cs="Century Gothic"/>
          <w:b w:val="1"/>
          <w:bCs w:val="1"/>
          <w:color w:val="auto"/>
          <w:lang w:val="fr-FR"/>
        </w:rPr>
        <w:t>un 7,5 % más en cifras reportadas</w:t>
      </w:r>
      <w:r w:rsidRPr="524D17EB" w:rsidR="003242B0">
        <w:rPr>
          <w:rFonts w:ascii="Century Gothic" w:hAnsi="Century Gothic" w:eastAsia="Century Gothic" w:cs="Century Gothic"/>
          <w:color w:val="auto"/>
          <w:lang w:val="fr-FR"/>
        </w:rPr>
        <w:t>, reflejo del efecto combinado del crecimiento de los ingresos y de las primeras eficiencias generadas por el programa “</w:t>
      </w:r>
      <w:r w:rsidRPr="524D17EB" w:rsidR="003242B0">
        <w:rPr>
          <w:rFonts w:ascii="Century Gothic" w:hAnsi="Century Gothic" w:eastAsia="Century Gothic" w:cs="Century Gothic"/>
          <w:color w:val="auto"/>
          <w:lang w:val="fr-FR"/>
        </w:rPr>
        <w:t>Fit</w:t>
      </w:r>
      <w:r w:rsidRPr="524D17EB" w:rsidR="003242B0">
        <w:rPr>
          <w:rFonts w:ascii="Century Gothic" w:hAnsi="Century Gothic" w:eastAsia="Century Gothic" w:cs="Century Gothic"/>
          <w:color w:val="auto"/>
          <w:lang w:val="fr-FR"/>
        </w:rPr>
        <w:t xml:space="preserve"> </w:t>
      </w:r>
      <w:r w:rsidRPr="524D17EB" w:rsidR="003242B0">
        <w:rPr>
          <w:rFonts w:ascii="Century Gothic" w:hAnsi="Century Gothic" w:eastAsia="Century Gothic" w:cs="Century Gothic"/>
          <w:color w:val="auto"/>
          <w:lang w:val="fr-FR"/>
        </w:rPr>
        <w:t>for</w:t>
      </w:r>
      <w:r w:rsidRPr="524D17EB" w:rsidR="003242B0">
        <w:rPr>
          <w:rFonts w:ascii="Century Gothic" w:hAnsi="Century Gothic" w:eastAsia="Century Gothic" w:cs="Century Gothic"/>
          <w:color w:val="auto"/>
          <w:lang w:val="fr-FR"/>
        </w:rPr>
        <w:t xml:space="preserve"> </w:t>
      </w:r>
      <w:r w:rsidRPr="524D17EB" w:rsidR="003242B0">
        <w:rPr>
          <w:rFonts w:ascii="Century Gothic" w:hAnsi="Century Gothic" w:eastAsia="Century Gothic" w:cs="Century Gothic"/>
          <w:color w:val="auto"/>
          <w:lang w:val="fr-FR"/>
        </w:rPr>
        <w:t>Growth</w:t>
      </w:r>
      <w:r w:rsidRPr="524D17EB" w:rsidR="003242B0">
        <w:rPr>
          <w:rFonts w:ascii="Century Gothic" w:hAnsi="Century Gothic" w:eastAsia="Century Gothic" w:cs="Century Gothic"/>
          <w:color w:val="auto"/>
          <w:lang w:val="fr-FR"/>
        </w:rPr>
        <w:t>”:</w:t>
      </w:r>
    </w:p>
    <w:p w:rsidRPr="003242B0" w:rsidR="00025F0A" w:rsidP="00766BAF" w:rsidRDefault="00025F0A" w14:paraId="1FCA51E9" w14:textId="77777777">
      <w:pPr>
        <w:ind w:left="36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3242B0" w:rsidR="003242B0" w:rsidP="00766BAF" w:rsidRDefault="003242B0" w14:paraId="67E6A3AD" w14:textId="77777777">
      <w:pPr>
        <w:numPr>
          <w:ilvl w:val="1"/>
          <w:numId w:val="10"/>
        </w:numPr>
        <w:tabs>
          <w:tab w:val="clear" w:pos="1440"/>
          <w:tab w:val="num" w:pos="1080"/>
        </w:tabs>
        <w:ind w:left="1080"/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Margen EBITDA del 45,9 %, +2,3 puntos</w:t>
      </w: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 en términos comparables.</w:t>
      </w:r>
    </w:p>
    <w:p w:rsidR="003242B0" w:rsidP="00766BAF" w:rsidRDefault="003242B0" w14:paraId="16220316" w14:textId="77777777">
      <w:pPr>
        <w:numPr>
          <w:ilvl w:val="1"/>
          <w:numId w:val="10"/>
        </w:numPr>
        <w:tabs>
          <w:tab w:val="clear" w:pos="1440"/>
          <w:tab w:val="num" w:pos="1080"/>
        </w:tabs>
        <w:ind w:left="1080"/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EBITDA operativo de 1.131 millones de euros, un 13,7 % más</w:t>
      </w: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 en términos comparables; margen operativo del 41,4 %, +2,8 puntos en términos comparables.</w:t>
      </w:r>
    </w:p>
    <w:p w:rsidRPr="003242B0" w:rsidR="00025F0A" w:rsidP="00025F0A" w:rsidRDefault="00025F0A" w14:paraId="53412A5A" w14:textId="77777777">
      <w:pPr>
        <w:ind w:left="144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3242B0" w:rsidR="003242B0" w:rsidP="00E06DEB" w:rsidRDefault="003242B0" w14:paraId="31DD114D" w14:textId="77777777">
      <w:pPr>
        <w:numPr>
          <w:ilvl w:val="0"/>
          <w:numId w:val="13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Resultado neto, cuota del Grupo, de </w:t>
      </w: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521 millones de euros, un 2,8 % más</w:t>
      </w:r>
      <w:r w:rsidRPr="003242B0">
        <w:rPr>
          <w:rFonts w:ascii="Century Gothic" w:hAnsi="Century Gothic" w:eastAsia="Century Gothic" w:cs="Century Gothic"/>
          <w:color w:val="auto"/>
          <w:lang w:val="es-ES"/>
        </w:rPr>
        <w:t>.</w:t>
      </w:r>
    </w:p>
    <w:p w:rsidRPr="003242B0" w:rsidR="003242B0" w:rsidP="00E06DEB" w:rsidRDefault="003242B0" w14:paraId="08ED7431" w14:textId="4D9D2FFB">
      <w:pPr>
        <w:numPr>
          <w:ilvl w:val="0"/>
          <w:numId w:val="13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color w:val="auto"/>
          <w:lang w:val="es-ES"/>
        </w:rPr>
        <w:lastRenderedPageBreak/>
        <w:t>Beneficio por acción ajustado</w:t>
      </w:r>
      <w:r w:rsidRPr="001F687B" w:rsidR="00293519">
        <w:rPr>
          <w:rStyle w:val="Refdenotaalpie"/>
          <w:rFonts w:ascii="Century Gothic" w:hAnsi="Century Gothic" w:eastAsia="Century Gothic" w:cs="Century Gothic"/>
          <w:b/>
          <w:bCs/>
          <w:color w:val="auto"/>
          <w:lang w:val="es-ES"/>
        </w:rPr>
        <w:footnoteReference w:id="2"/>
      </w: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 </w:t>
      </w: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récord de 2,59 euros frente a 2,35 euros en 2024,</w:t>
      </w: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 un incremento del 10,0 %.</w:t>
      </w:r>
    </w:p>
    <w:p w:rsidRPr="003242B0" w:rsidR="003242B0" w:rsidP="00E06DEB" w:rsidRDefault="003242B0" w14:paraId="188F3EA4" w14:textId="77777777">
      <w:pPr>
        <w:numPr>
          <w:ilvl w:val="0"/>
          <w:numId w:val="13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Flujo de caja libre de </w:t>
      </w: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1.111 millones de euros, un 34 % más.</w:t>
      </w:r>
    </w:p>
    <w:p w:rsidR="003242B0" w:rsidP="00E06DEB" w:rsidRDefault="003242B0" w14:paraId="4A62CDF4" w14:textId="396FB55E">
      <w:pPr>
        <w:pStyle w:val="Prrafodelista"/>
        <w:numPr>
          <w:ilvl w:val="0"/>
          <w:numId w:val="13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E06DEB">
        <w:rPr>
          <w:rFonts w:ascii="Century Gothic" w:hAnsi="Century Gothic" w:eastAsia="Century Gothic" w:cs="Century Gothic"/>
          <w:color w:val="auto"/>
          <w:lang w:val="es-ES"/>
        </w:rPr>
        <w:t xml:space="preserve">Deuda neta </w:t>
      </w:r>
      <w:r w:rsidRPr="00E06DEB">
        <w:rPr>
          <w:rFonts w:ascii="Century Gothic" w:hAnsi="Century Gothic" w:eastAsia="Century Gothic" w:cs="Century Gothic"/>
          <w:b/>
          <w:bCs/>
          <w:color w:val="auto"/>
          <w:lang w:val="es-ES"/>
        </w:rPr>
        <w:t>reducida en un 31 %</w:t>
      </w:r>
      <w:r w:rsidRPr="00E06DEB">
        <w:rPr>
          <w:rFonts w:ascii="Century Gothic" w:hAnsi="Century Gothic" w:eastAsia="Century Gothic" w:cs="Century Gothic"/>
          <w:color w:val="auto"/>
          <w:lang w:val="es-ES"/>
        </w:rPr>
        <w:t>, situando la ratio deuda neta/EBITDA en 0,9x al cierre de 2025.</w:t>
      </w:r>
    </w:p>
    <w:p w:rsidRPr="00E06DEB" w:rsidR="00E06DEB" w:rsidP="00E06DEB" w:rsidRDefault="00E06DEB" w14:paraId="138F8A37" w14:textId="77777777">
      <w:pPr>
        <w:pStyle w:val="Prrafodelista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="003242B0" w:rsidP="003242B0" w:rsidRDefault="003242B0" w14:paraId="4B83E235" w14:textId="77777777">
      <w:pPr>
        <w:jc w:val="both"/>
        <w:rPr>
          <w:rFonts w:ascii="Century Gothic" w:hAnsi="Century Gothic" w:eastAsia="Century Gothic" w:cs="Century Gothic"/>
          <w:b/>
          <w:bCs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Mayor retribución al accionista</w:t>
      </w:r>
    </w:p>
    <w:p w:rsidRPr="003242B0" w:rsidR="00025F0A" w:rsidP="003242B0" w:rsidRDefault="00025F0A" w14:paraId="2B693F8A" w14:textId="77777777">
      <w:pPr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3242B0" w:rsidR="003242B0" w:rsidP="003242B0" w:rsidRDefault="003242B0" w14:paraId="1D89D98E" w14:textId="77777777">
      <w:pPr>
        <w:numPr>
          <w:ilvl w:val="0"/>
          <w:numId w:val="11"/>
        </w:numPr>
        <w:jc w:val="both"/>
        <w:rPr>
          <w:rFonts w:ascii="Century Gothic" w:hAnsi="Century Gothic" w:eastAsia="Century Gothic" w:cs="Century Gothic"/>
          <w:b/>
          <w:bCs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Edenred recompró acciones propias por valor de </w:t>
      </w: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125 millones de euros en 2025.</w:t>
      </w:r>
    </w:p>
    <w:p w:rsidRPr="005F1892" w:rsidR="003242B0" w:rsidP="003242B0" w:rsidRDefault="003242B0" w14:paraId="4C6BEF4E" w14:textId="3ED39AEE">
      <w:pPr>
        <w:numPr>
          <w:ilvl w:val="0"/>
          <w:numId w:val="11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3242B0">
        <w:rPr>
          <w:rFonts w:ascii="Century Gothic" w:hAnsi="Century Gothic" w:eastAsia="Century Gothic" w:cs="Century Gothic"/>
          <w:color w:val="auto"/>
          <w:lang w:val="es-ES"/>
        </w:rPr>
        <w:t xml:space="preserve">Edenred propondrá el pago de un dividendo de </w:t>
      </w: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>1,33</w:t>
      </w:r>
      <w:r w:rsidRPr="001F687B" w:rsidR="00B77553">
        <w:rPr>
          <w:rStyle w:val="Refdenotaalpie"/>
          <w:rFonts w:ascii="Century Gothic" w:hAnsi="Century Gothic" w:eastAsia="Century Gothic" w:cs="Century Gothic"/>
          <w:b/>
          <w:bCs/>
          <w:color w:val="auto"/>
          <w:lang w:val="es-ES"/>
        </w:rPr>
        <w:footnoteReference w:id="3"/>
      </w:r>
      <w:r w:rsidRPr="003242B0">
        <w:rPr>
          <w:rFonts w:ascii="Century Gothic" w:hAnsi="Century Gothic" w:eastAsia="Century Gothic" w:cs="Century Gothic"/>
          <w:b/>
          <w:bCs/>
          <w:color w:val="auto"/>
          <w:lang w:val="es-ES"/>
        </w:rPr>
        <w:t xml:space="preserve"> euros por acción con cargo a 2025, lo que supone un incremento del 10 %.</w:t>
      </w:r>
    </w:p>
    <w:p w:rsidRPr="003242B0" w:rsidR="005F1892" w:rsidP="005F1892" w:rsidRDefault="005F1892" w14:paraId="1B81D931" w14:textId="77777777">
      <w:pPr>
        <w:ind w:left="72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="005F1892" w:rsidP="005F1892" w:rsidRDefault="005F1892" w14:paraId="5BE3AEBB" w14:textId="77777777">
      <w:pPr>
        <w:jc w:val="both"/>
        <w:rPr>
          <w:rFonts w:ascii="Century Gothic" w:hAnsi="Century Gothic" w:eastAsia="Century Gothic" w:cs="Century Gothic"/>
          <w:b/>
          <w:bCs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 xml:space="preserve">Sólido desempeño </w:t>
      </w:r>
      <w:proofErr w:type="spellStart"/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>extrafinanciero</w:t>
      </w:r>
      <w:proofErr w:type="spellEnd"/>
    </w:p>
    <w:p w:rsidRPr="005F1892" w:rsidR="005F1892" w:rsidP="005F1892" w:rsidRDefault="005F1892" w14:paraId="4999C4E9" w14:textId="77777777">
      <w:pPr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5F1892" w:rsidR="005F1892" w:rsidP="005F1892" w:rsidRDefault="005F1892" w14:paraId="48B3316C" w14:textId="77777777">
      <w:pPr>
        <w:numPr>
          <w:ilvl w:val="0"/>
          <w:numId w:val="15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color w:val="auto"/>
          <w:lang w:val="es-ES"/>
        </w:rPr>
        <w:t xml:space="preserve">Nuevo incremento de los indicadores de desempeño </w:t>
      </w:r>
      <w:proofErr w:type="spellStart"/>
      <w:r w:rsidRPr="005F1892">
        <w:rPr>
          <w:rFonts w:ascii="Century Gothic" w:hAnsi="Century Gothic" w:eastAsia="Century Gothic" w:cs="Century Gothic"/>
          <w:color w:val="auto"/>
          <w:lang w:val="es-ES"/>
        </w:rPr>
        <w:t>extrafinanciero</w:t>
      </w:r>
      <w:proofErr w:type="spellEnd"/>
      <w:r w:rsidRPr="005F1892">
        <w:rPr>
          <w:rFonts w:ascii="Century Gothic" w:hAnsi="Century Gothic" w:eastAsia="Century Gothic" w:cs="Century Gothic"/>
          <w:color w:val="auto"/>
          <w:lang w:val="es-ES"/>
        </w:rPr>
        <w:t>.</w:t>
      </w:r>
    </w:p>
    <w:p w:rsidR="005F1892" w:rsidP="005F1892" w:rsidRDefault="005F1892" w14:paraId="1D7BCEE2" w14:textId="77777777">
      <w:pPr>
        <w:numPr>
          <w:ilvl w:val="0"/>
          <w:numId w:val="15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color w:val="auto"/>
          <w:lang w:val="es-ES"/>
        </w:rPr>
        <w:t xml:space="preserve">Calificaciones ESG líderes en el sector por parte de las principales agencias de rating no financiero, incluyendo una mejora de seis puntos en la calificación de S&amp;P Global y la medalla de Oro de </w:t>
      </w:r>
      <w:proofErr w:type="spellStart"/>
      <w:r w:rsidRPr="005F1892">
        <w:rPr>
          <w:rFonts w:ascii="Century Gothic" w:hAnsi="Century Gothic" w:eastAsia="Century Gothic" w:cs="Century Gothic"/>
          <w:color w:val="auto"/>
          <w:lang w:val="es-ES"/>
        </w:rPr>
        <w:t>EcoVadis</w:t>
      </w:r>
      <w:proofErr w:type="spellEnd"/>
      <w:r w:rsidRPr="005F1892">
        <w:rPr>
          <w:rFonts w:ascii="Century Gothic" w:hAnsi="Century Gothic" w:eastAsia="Century Gothic" w:cs="Century Gothic"/>
          <w:color w:val="auto"/>
          <w:lang w:val="es-ES"/>
        </w:rPr>
        <w:t>, lo que ilustra el firme compromiso de Edenred.</w:t>
      </w:r>
    </w:p>
    <w:p w:rsidRPr="005F1892" w:rsidR="005F1892" w:rsidP="005F1892" w:rsidRDefault="005F1892" w14:paraId="1F5F2EF1" w14:textId="77777777">
      <w:pPr>
        <w:ind w:left="72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5F1892" w:rsidR="005F1892" w:rsidP="005F1892" w:rsidRDefault="005F1892" w14:paraId="31BC74FE" w14:textId="77777777">
      <w:p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 xml:space="preserve">Edenred inicia 2026 en una posición sólida para ejecutar su plan estratégico </w:t>
      </w:r>
      <w:proofErr w:type="spellStart"/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>Amplify</w:t>
      </w:r>
      <w:proofErr w:type="spellEnd"/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 xml:space="preserve"> 25-28</w:t>
      </w:r>
    </w:p>
    <w:p w:rsidR="005F1892" w:rsidP="005F1892" w:rsidRDefault="005F1892" w14:paraId="25E0F34A" w14:textId="77777777">
      <w:pPr>
        <w:numPr>
          <w:ilvl w:val="0"/>
          <w:numId w:val="16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color w:val="auto"/>
          <w:lang w:val="es-ES"/>
        </w:rPr>
        <w:t>Un modelo de crecimiento virtuoso basado en el aumento del número de usuarios, combinado con un mayor ingreso medio por usuario (ARPU).</w:t>
      </w:r>
    </w:p>
    <w:p w:rsidRPr="005F1892" w:rsidR="00A75C6D" w:rsidP="00A75C6D" w:rsidRDefault="00A75C6D" w14:paraId="49DAE700" w14:textId="77777777">
      <w:pPr>
        <w:ind w:left="72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="005F1892" w:rsidP="005F1892" w:rsidRDefault="005F1892" w14:paraId="41E22E82" w14:textId="77777777">
      <w:pPr>
        <w:numPr>
          <w:ilvl w:val="0"/>
          <w:numId w:val="16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color w:val="auto"/>
          <w:lang w:val="es-ES"/>
        </w:rPr>
        <w:t>Tres pilares estratégicos ya desplegados en 2025:</w:t>
      </w:r>
    </w:p>
    <w:p w:rsidRPr="005F1892" w:rsidR="005F1892" w:rsidP="005F1892" w:rsidRDefault="005F1892" w14:paraId="78942EC2" w14:textId="77777777">
      <w:pPr>
        <w:ind w:left="72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5F1892" w:rsidR="005F1892" w:rsidP="005F1892" w:rsidRDefault="005F1892" w14:paraId="1D1EF5CA" w14:textId="77777777">
      <w:pPr>
        <w:numPr>
          <w:ilvl w:val="1"/>
          <w:numId w:val="16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proofErr w:type="spellStart"/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>Attract</w:t>
      </w:r>
      <w:proofErr w:type="spellEnd"/>
      <w:r w:rsidRPr="005F1892">
        <w:rPr>
          <w:rFonts w:ascii="Century Gothic" w:hAnsi="Century Gothic" w:eastAsia="Century Gothic" w:cs="Century Gothic"/>
          <w:color w:val="auto"/>
          <w:lang w:val="es-ES"/>
        </w:rPr>
        <w:t>, para continuar con una captación eficiente de clientes en mercados amplios, en crecimiento y todavía poco penetrados.</w:t>
      </w:r>
    </w:p>
    <w:p w:rsidRPr="005F1892" w:rsidR="005F1892" w:rsidP="005F1892" w:rsidRDefault="005F1892" w14:paraId="47C80193" w14:textId="77777777">
      <w:pPr>
        <w:numPr>
          <w:ilvl w:val="1"/>
          <w:numId w:val="16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>Enrich</w:t>
      </w:r>
      <w:r w:rsidRPr="005F1892">
        <w:rPr>
          <w:rFonts w:ascii="Century Gothic" w:hAnsi="Century Gothic" w:eastAsia="Century Gothic" w:cs="Century Gothic"/>
          <w:color w:val="auto"/>
          <w:lang w:val="es-ES"/>
        </w:rPr>
        <w:t xml:space="preserve">, para maximizar las oportunidades de venta cruzada y venta incremental, aprovechando la riqueza única de su </w:t>
      </w:r>
      <w:proofErr w:type="gramStart"/>
      <w:r w:rsidRPr="005F1892">
        <w:rPr>
          <w:rFonts w:ascii="Century Gothic" w:hAnsi="Century Gothic" w:eastAsia="Century Gothic" w:cs="Century Gothic"/>
          <w:color w:val="auto"/>
          <w:lang w:val="es-ES"/>
        </w:rPr>
        <w:t>portfolio</w:t>
      </w:r>
      <w:proofErr w:type="gramEnd"/>
      <w:r w:rsidRPr="005F1892">
        <w:rPr>
          <w:rFonts w:ascii="Century Gothic" w:hAnsi="Century Gothic" w:eastAsia="Century Gothic" w:cs="Century Gothic"/>
          <w:color w:val="auto"/>
          <w:lang w:val="es-ES"/>
        </w:rPr>
        <w:t xml:space="preserve"> de soluciones.</w:t>
      </w:r>
    </w:p>
    <w:p w:rsidR="005F1892" w:rsidP="005F1892" w:rsidRDefault="005F1892" w14:paraId="5EF15146" w14:textId="77777777">
      <w:pPr>
        <w:numPr>
          <w:ilvl w:val="1"/>
          <w:numId w:val="16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proofErr w:type="spellStart"/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>Activate</w:t>
      </w:r>
      <w:proofErr w:type="spellEnd"/>
      <w:r w:rsidRPr="005F1892">
        <w:rPr>
          <w:rFonts w:ascii="Century Gothic" w:hAnsi="Century Gothic" w:eastAsia="Century Gothic" w:cs="Century Gothic"/>
          <w:color w:val="auto"/>
          <w:lang w:val="es-ES"/>
        </w:rPr>
        <w:t>, para incrementar el uso de las soluciones y monetizar la audiencia de más de 60 millones de usuarios de su plataforma, especialmente mediante el desarrollo de nuevos servicios para los comercios asociados.</w:t>
      </w:r>
    </w:p>
    <w:p w:rsidRPr="005F1892" w:rsidR="00A75C6D" w:rsidP="00A75C6D" w:rsidRDefault="00A75C6D" w14:paraId="49306103" w14:textId="77777777">
      <w:pPr>
        <w:ind w:left="144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="005F1892" w:rsidP="005F1892" w:rsidRDefault="005F1892" w14:paraId="6AC7C158" w14:textId="77777777">
      <w:p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>Objetivos para 2026</w:t>
      </w:r>
      <w:r w:rsidRPr="005F1892">
        <w:rPr>
          <w:rFonts w:ascii="Century Gothic" w:hAnsi="Century Gothic" w:eastAsia="Century Gothic" w:cs="Century Gothic"/>
          <w:color w:val="auto"/>
          <w:lang w:val="es-ES"/>
        </w:rPr>
        <w:t>, que tienen en cuenta el impacto de los cambios regulatorios en Italia y Brasil:</w:t>
      </w:r>
    </w:p>
    <w:p w:rsidRPr="005F1892" w:rsidR="00A75C6D" w:rsidP="005F1892" w:rsidRDefault="00A75C6D" w14:paraId="74091699" w14:textId="77777777">
      <w:pPr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004095" w:rsidR="005F1892" w:rsidP="005F1892" w:rsidRDefault="005F1892" w14:paraId="0C5141C9" w14:textId="77777777">
      <w:pPr>
        <w:numPr>
          <w:ilvl w:val="0"/>
          <w:numId w:val="17"/>
        </w:numPr>
        <w:jc w:val="both"/>
        <w:rPr>
          <w:rFonts w:ascii="Century Gothic" w:hAnsi="Century Gothic" w:eastAsia="Century Gothic" w:cs="Century Gothic"/>
          <w:b/>
          <w:bCs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color w:val="auto"/>
          <w:lang w:val="es-ES"/>
        </w:rPr>
        <w:t xml:space="preserve">Edenred confirma una caída del EBITDA de entre el 8 % y el 12 % en términos comparables, lo que corresponde a un </w:t>
      </w:r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>crecimiento intrínseco del EBITDA de entre el 8 % y el 12 %, nivel previsto para 2027 y 2028.</w:t>
      </w:r>
    </w:p>
    <w:p w:rsidRPr="005F1892" w:rsidR="00A75C6D" w:rsidP="00A75C6D" w:rsidRDefault="00A75C6D" w14:paraId="05BDDBAB" w14:textId="77777777">
      <w:pPr>
        <w:ind w:left="720"/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5F1892" w:rsidR="005F1892" w:rsidP="005F1892" w:rsidRDefault="005F1892" w14:paraId="24557664" w14:textId="493A6AFC">
      <w:pPr>
        <w:numPr>
          <w:ilvl w:val="0"/>
          <w:numId w:val="17"/>
        </w:numPr>
        <w:jc w:val="both"/>
        <w:rPr>
          <w:rFonts w:ascii="Century Gothic" w:hAnsi="Century Gothic" w:eastAsia="Century Gothic" w:cs="Century Gothic"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color w:val="auto"/>
          <w:lang w:val="es-ES"/>
        </w:rPr>
        <w:t xml:space="preserve">Edenred fija como objetivo una tasa de conversión de flujo de caja libre/EBITDA ≥ 35 %, equivalente a una </w:t>
      </w:r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>tasa de conversión intrínseca ≥ 65 %</w:t>
      </w:r>
      <w:r w:rsidRPr="00004095" w:rsidR="00713768">
        <w:rPr>
          <w:rStyle w:val="Refdenotaalpie"/>
          <w:rFonts w:ascii="Century Gothic" w:hAnsi="Century Gothic" w:eastAsia="Century Gothic" w:cs="Century Gothic"/>
          <w:b/>
          <w:bCs/>
          <w:color w:val="auto"/>
          <w:lang w:val="es-ES"/>
        </w:rPr>
        <w:footnoteReference w:id="4"/>
      </w:r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t>, nivel esperado para 2027 y 2028</w:t>
      </w:r>
      <w:r w:rsidRPr="005F1892">
        <w:rPr>
          <w:rFonts w:ascii="Century Gothic" w:hAnsi="Century Gothic" w:eastAsia="Century Gothic" w:cs="Century Gothic"/>
          <w:color w:val="auto"/>
          <w:lang w:val="es-ES"/>
        </w:rPr>
        <w:t>, lo que confirma la capacidad del Grupo para mantener una sólida generación de caja.</w:t>
      </w:r>
    </w:p>
    <w:p w:rsidRPr="005F1892" w:rsidR="005F1892" w:rsidP="005F1892" w:rsidRDefault="005F1892" w14:paraId="7DABA0E8" w14:textId="5FA0E49E">
      <w:pPr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="005F1892" w:rsidP="005F1892" w:rsidRDefault="005F1892" w14:paraId="540D73CF" w14:textId="33F45DDD">
      <w:pPr>
        <w:jc w:val="both"/>
        <w:rPr>
          <w:rFonts w:ascii="Century Gothic" w:hAnsi="Century Gothic" w:eastAsia="Century Gothic" w:cs="Century Gothic"/>
          <w:i/>
          <w:iCs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b/>
          <w:bCs/>
          <w:color w:val="auto"/>
          <w:lang w:val="es-ES"/>
        </w:rPr>
        <w:lastRenderedPageBreak/>
        <w:t>Bertrand Dumazy, presidente y CEO de Edenred</w:t>
      </w:r>
      <w:r w:rsidRPr="005F1892">
        <w:rPr>
          <w:rFonts w:ascii="Century Gothic" w:hAnsi="Century Gothic" w:eastAsia="Century Gothic" w:cs="Century Gothic"/>
          <w:color w:val="auto"/>
          <w:lang w:val="es-ES"/>
        </w:rPr>
        <w:t xml:space="preserve">, </w:t>
      </w:r>
      <w:r w:rsidR="0037071E">
        <w:rPr>
          <w:rFonts w:ascii="Century Gothic" w:hAnsi="Century Gothic" w:eastAsia="Century Gothic" w:cs="Century Gothic"/>
          <w:color w:val="auto"/>
          <w:lang w:val="es-ES"/>
        </w:rPr>
        <w:t>ha declarado</w:t>
      </w:r>
      <w:r w:rsidRPr="005F1892">
        <w:rPr>
          <w:rFonts w:ascii="Century Gothic" w:hAnsi="Century Gothic" w:eastAsia="Century Gothic" w:cs="Century Gothic"/>
          <w:color w:val="auto"/>
          <w:lang w:val="es-ES"/>
        </w:rPr>
        <w:t>:</w:t>
      </w:r>
      <w:r w:rsidR="0037071E">
        <w:rPr>
          <w:rFonts w:ascii="Century Gothic" w:hAnsi="Century Gothic" w:eastAsia="Century Gothic" w:cs="Century Gothic"/>
          <w:color w:val="auto"/>
          <w:lang w:val="es-ES"/>
        </w:rPr>
        <w:t xml:space="preserve"> </w:t>
      </w:r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>“Hemos alcanzado todos nuestros objetivos operativos y financieros en 2025 y hemos vuelto a registrar resultados récord. Quiero agradecer a nuestros 12.000 profesionales su compromiso y determinación constante.</w:t>
      </w:r>
    </w:p>
    <w:p w:rsidRPr="005F1892" w:rsidR="0037071E" w:rsidP="005F1892" w:rsidRDefault="0037071E" w14:paraId="63F84759" w14:textId="77777777">
      <w:pPr>
        <w:jc w:val="both"/>
        <w:rPr>
          <w:rFonts w:ascii="Century Gothic" w:hAnsi="Century Gothic" w:eastAsia="Century Gothic" w:cs="Century Gothic"/>
          <w:i/>
          <w:iCs/>
          <w:color w:val="auto"/>
          <w:lang w:val="es-ES"/>
        </w:rPr>
      </w:pPr>
    </w:p>
    <w:p w:rsidR="005F1892" w:rsidP="005F1892" w:rsidRDefault="005F1892" w14:paraId="2320B434" w14:textId="77777777">
      <w:pPr>
        <w:jc w:val="both"/>
        <w:rPr>
          <w:rFonts w:ascii="Century Gothic" w:hAnsi="Century Gothic" w:eastAsia="Century Gothic" w:cs="Century Gothic"/>
          <w:i/>
          <w:iCs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 xml:space="preserve">Estos sólidos resultados demuestran que Edenred evoluciona en mercados estructuralmente prometedores. Seguimos incorporando nuevos clientes, que adoptan tanto nuestras soluciones de beneficios sociales como aquellas orientadas a impulsar el </w:t>
      </w:r>
      <w:proofErr w:type="spellStart"/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>engagement</w:t>
      </w:r>
      <w:proofErr w:type="spellEnd"/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 xml:space="preserve"> en el entorno laboral, así como nuestras ofertas dedicadas a optimizar y simplificar la gestión de flotas corporativas.</w:t>
      </w:r>
    </w:p>
    <w:p w:rsidRPr="005F1892" w:rsidR="0037071E" w:rsidP="005F1892" w:rsidRDefault="0037071E" w14:paraId="1DDA4D13" w14:textId="77777777">
      <w:pPr>
        <w:jc w:val="both"/>
        <w:rPr>
          <w:rFonts w:ascii="Century Gothic" w:hAnsi="Century Gothic" w:eastAsia="Century Gothic" w:cs="Century Gothic"/>
          <w:i/>
          <w:iCs/>
          <w:color w:val="auto"/>
          <w:lang w:val="es-ES"/>
        </w:rPr>
      </w:pPr>
    </w:p>
    <w:p w:rsidR="005F1892" w:rsidP="005F1892" w:rsidRDefault="005F1892" w14:paraId="38ADE6DD" w14:textId="77777777">
      <w:pPr>
        <w:jc w:val="both"/>
        <w:rPr>
          <w:rFonts w:ascii="Century Gothic" w:hAnsi="Century Gothic" w:eastAsia="Century Gothic" w:cs="Century Gothic"/>
          <w:i/>
          <w:iCs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 xml:space="preserve">Aunque el tamaño y la diversidad de nuestro </w:t>
      </w:r>
      <w:proofErr w:type="gramStart"/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>portfolio</w:t>
      </w:r>
      <w:proofErr w:type="gramEnd"/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 xml:space="preserve"> de soluciones nos ayudarán a mitigar el impacto de los cambios regulatorios en curso en Italia y Brasil, estos afectarán a nuestro desempeño en 2026. No obstante, confiamos en nuestra capacidad para retomar rápidamente nuestra trayectoria de crecimiento rentable y sostenible, apoyándonos especialmente en el despliegue de nuestro plan estratégico </w:t>
      </w:r>
      <w:proofErr w:type="spellStart"/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>Amplify</w:t>
      </w:r>
      <w:proofErr w:type="spellEnd"/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>.</w:t>
      </w:r>
    </w:p>
    <w:p w:rsidRPr="005F1892" w:rsidR="0025118D" w:rsidP="005F1892" w:rsidRDefault="0025118D" w14:paraId="70FA6CEB" w14:textId="77777777">
      <w:pPr>
        <w:jc w:val="both"/>
        <w:rPr>
          <w:rFonts w:ascii="Century Gothic" w:hAnsi="Century Gothic" w:eastAsia="Century Gothic" w:cs="Century Gothic"/>
          <w:i/>
          <w:iCs/>
          <w:color w:val="auto"/>
          <w:lang w:val="es-ES"/>
        </w:rPr>
      </w:pPr>
    </w:p>
    <w:p w:rsidR="005F1892" w:rsidP="005F1892" w:rsidRDefault="005F1892" w14:paraId="027E7A11" w14:textId="77777777">
      <w:pPr>
        <w:jc w:val="both"/>
        <w:rPr>
          <w:rFonts w:ascii="Century Gothic" w:hAnsi="Century Gothic" w:eastAsia="Century Gothic" w:cs="Century Gothic"/>
          <w:i/>
          <w:iCs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>Contamos con una fuerte tracción comercial, la relevancia de nuestros productos y nuestro liderazgo tecnológico para aumentar tanto el número de usuarios como el ingreso medio por usuario.</w:t>
      </w:r>
    </w:p>
    <w:p w:rsidRPr="005F1892" w:rsidR="0025118D" w:rsidP="005F1892" w:rsidRDefault="0025118D" w14:paraId="4C59F519" w14:textId="77777777">
      <w:pPr>
        <w:jc w:val="both"/>
        <w:rPr>
          <w:rFonts w:ascii="Century Gothic" w:hAnsi="Century Gothic" w:eastAsia="Century Gothic" w:cs="Century Gothic"/>
          <w:i/>
          <w:iCs/>
          <w:color w:val="auto"/>
          <w:lang w:val="es-ES"/>
        </w:rPr>
      </w:pPr>
    </w:p>
    <w:p w:rsidRPr="005F1892" w:rsidR="005F1892" w:rsidP="005F1892" w:rsidRDefault="005F1892" w14:paraId="491D801E" w14:textId="77777777">
      <w:pPr>
        <w:jc w:val="both"/>
        <w:rPr>
          <w:rFonts w:ascii="Century Gothic" w:hAnsi="Century Gothic" w:eastAsia="Century Gothic" w:cs="Century Gothic"/>
          <w:i/>
          <w:iCs/>
          <w:color w:val="auto"/>
          <w:lang w:val="es-ES"/>
        </w:rPr>
      </w:pPr>
      <w:r w:rsidRPr="005F1892">
        <w:rPr>
          <w:rFonts w:ascii="Century Gothic" w:hAnsi="Century Gothic" w:eastAsia="Century Gothic" w:cs="Century Gothic"/>
          <w:i/>
          <w:iCs/>
          <w:color w:val="auto"/>
          <w:lang w:val="es-ES"/>
        </w:rPr>
        <w:t>Por último, nuestra sólida posición financiera nos otorga la flexibilidad necesaria para invertir en nuestras propias palancas de crecimiento, especialmente en Data &amp; AI, y aprovechar potenciales oportunidades de adquisición, al tiempo que mantenemos nuestra política de retribución al accionista.”</w:t>
      </w:r>
    </w:p>
    <w:p w:rsidRPr="00F300B0" w:rsidR="00F300B0" w:rsidP="003242B0" w:rsidRDefault="00F300B0" w14:paraId="72847017" w14:textId="63C8718E">
      <w:pPr>
        <w:jc w:val="both"/>
        <w:rPr>
          <w:rFonts w:ascii="Century Gothic" w:hAnsi="Century Gothic" w:eastAsia="Century Gothic" w:cs="Century Gothic"/>
          <w:color w:val="auto"/>
          <w:lang w:val="es-ES"/>
        </w:rPr>
      </w:pPr>
    </w:p>
    <w:p w:rsidRPr="00F300B0" w:rsidR="001B6F44" w:rsidP="00D03656" w:rsidRDefault="001B6F44" w14:paraId="2004D732" w14:textId="77777777">
      <w:pPr>
        <w:jc w:val="both"/>
        <w:rPr>
          <w:lang w:val="es-ES"/>
        </w:rPr>
      </w:pPr>
    </w:p>
    <w:p w:rsidRPr="00833D4F" w:rsidR="0034131E" w:rsidRDefault="00E660F9" w14:paraId="51E74DA8" w14:textId="49D88DA3">
      <w:pPr>
        <w:jc w:val="both"/>
        <w:rPr>
          <w:rFonts w:ascii="Century Gothic" w:hAnsi="Century Gothic" w:eastAsia="Century Gothic" w:cs="Century Gothic"/>
          <w:color w:val="000000"/>
          <w:lang w:val="es-ES"/>
        </w:rPr>
      </w:pPr>
      <w:r w:rsidRPr="00833D4F">
        <w:rPr>
          <w:rFonts w:ascii="Century Gothic" w:hAnsi="Century Gothic" w:eastAsia="Century Gothic" w:cs="Century Gothic"/>
          <w:color w:val="000000"/>
          <w:lang w:val="es-ES"/>
        </w:rPr>
        <w:t>▬▬</w:t>
      </w:r>
    </w:p>
    <w:p w:rsidRPr="00833D4F" w:rsidR="0034131E" w:rsidRDefault="0034131E" w14:paraId="319B1527" w14:textId="77777777">
      <w:pPr>
        <w:jc w:val="both"/>
        <w:rPr>
          <w:rFonts w:ascii="Century Gothic" w:hAnsi="Century Gothic" w:eastAsia="Century Gothic" w:cs="Century Gothic"/>
          <w:lang w:val="es-ES"/>
        </w:rPr>
      </w:pPr>
    </w:p>
    <w:p w:rsidRPr="00833D4F" w:rsidR="0034131E" w:rsidRDefault="00E660F9" w14:paraId="25873AF5" w14:textId="77777777">
      <w:pPr>
        <w:jc w:val="both"/>
        <w:rPr>
          <w:lang w:val="es-ES"/>
        </w:rPr>
      </w:pPr>
      <w:r w:rsidRPr="00833D4F">
        <w:rPr>
          <w:rFonts w:ascii="Century Gothic" w:hAnsi="Century Gothic" w:eastAsia="Century Gothic" w:cs="Century Gothic"/>
          <w:b/>
          <w:color w:val="000000"/>
          <w:sz w:val="18"/>
          <w:szCs w:val="18"/>
          <w:lang w:val="es-ES"/>
        </w:rPr>
        <w:t>Sobre Edenred</w:t>
      </w:r>
    </w:p>
    <w:p w:rsidRPr="00833D4F" w:rsidR="0034131E" w:rsidRDefault="0034131E" w14:paraId="4FED8EE9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lang w:val="es-ES"/>
        </w:rPr>
      </w:pPr>
    </w:p>
    <w:p w:rsidR="000E5BEA" w:rsidP="000E5BEA" w:rsidRDefault="000E5BEA" w14:paraId="482841BE" w14:textId="7167AB7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cs="Century Gothic"/>
          <w:color w:val="000000"/>
          <w:sz w:val="18"/>
          <w:szCs w:val="18"/>
          <w:lang w:val="es-ES"/>
        </w:rPr>
      </w:pPr>
      <w:r w:rsidRPr="000E5BEA">
        <w:rPr>
          <w:rFonts w:ascii="Century Gothic" w:hAnsi="Century Gothic" w:cs="Century Gothic"/>
          <w:b/>
          <w:bCs/>
          <w:color w:val="000000"/>
          <w:sz w:val="18"/>
          <w:szCs w:val="18"/>
          <w:lang w:val="es-ES"/>
        </w:rPr>
        <w:t>Edenred</w:t>
      </w:r>
      <w:r w:rsidRPr="000E5BEA">
        <w:rPr>
          <w:rFonts w:ascii="Century Gothic" w:hAnsi="Century Gothic" w:cs="Century Gothic"/>
          <w:color w:val="000000"/>
          <w:sz w:val="18"/>
          <w:szCs w:val="18"/>
          <w:lang w:val="es-ES"/>
        </w:rPr>
        <w:t xml:space="preserve"> es la </w:t>
      </w:r>
      <w:r w:rsidRPr="000E5BEA">
        <w:rPr>
          <w:rFonts w:ascii="Century Gothic" w:hAnsi="Century Gothic" w:cs="Century Gothic"/>
          <w:bCs/>
          <w:color w:val="000000"/>
          <w:sz w:val="18"/>
          <w:szCs w:val="18"/>
          <w:lang w:val="es-ES"/>
        </w:rPr>
        <w:t xml:space="preserve">plataforma digital </w:t>
      </w:r>
      <w:proofErr w:type="spellStart"/>
      <w:r w:rsidRPr="000E5BEA">
        <w:rPr>
          <w:rFonts w:ascii="Century Gothic" w:hAnsi="Century Gothic" w:cs="Century Gothic"/>
          <w:bCs/>
          <w:color w:val="000000"/>
          <w:sz w:val="18"/>
          <w:szCs w:val="18"/>
          <w:lang w:val="es-ES"/>
        </w:rPr>
        <w:t>multisolución</w:t>
      </w:r>
      <w:proofErr w:type="spellEnd"/>
      <w:r w:rsidRPr="000E5BEA">
        <w:rPr>
          <w:rFonts w:ascii="Century Gothic" w:hAnsi="Century Gothic" w:cs="Century Gothic"/>
          <w:bCs/>
          <w:color w:val="000000"/>
          <w:sz w:val="18"/>
          <w:szCs w:val="18"/>
          <w:lang w:val="es-ES"/>
        </w:rPr>
        <w:t xml:space="preserve"> especializada en beneficios sociales y </w:t>
      </w:r>
      <w:proofErr w:type="spellStart"/>
      <w:r w:rsidRPr="000E5BEA">
        <w:rPr>
          <w:rFonts w:ascii="Century Gothic" w:hAnsi="Century Gothic" w:cs="Century Gothic"/>
          <w:bCs/>
          <w:color w:val="000000"/>
          <w:sz w:val="18"/>
          <w:szCs w:val="18"/>
          <w:lang w:val="es-ES"/>
        </w:rPr>
        <w:t>employee</w:t>
      </w:r>
      <w:proofErr w:type="spellEnd"/>
      <w:r w:rsidRPr="000E5BEA">
        <w:rPr>
          <w:rFonts w:ascii="Century Gothic" w:hAnsi="Century Gothic" w:cs="Century Gothic"/>
          <w:bCs/>
          <w:color w:val="000000"/>
          <w:sz w:val="18"/>
          <w:szCs w:val="18"/>
          <w:lang w:val="es-ES"/>
        </w:rPr>
        <w:t xml:space="preserve"> </w:t>
      </w:r>
      <w:proofErr w:type="spellStart"/>
      <w:r w:rsidRPr="000E5BEA">
        <w:rPr>
          <w:rFonts w:ascii="Century Gothic" w:hAnsi="Century Gothic" w:cs="Century Gothic"/>
          <w:bCs/>
          <w:color w:val="000000"/>
          <w:sz w:val="18"/>
          <w:szCs w:val="18"/>
          <w:lang w:val="es-ES"/>
        </w:rPr>
        <w:t>engagement</w:t>
      </w:r>
      <w:proofErr w:type="spellEnd"/>
      <w:r w:rsidRPr="000E5BEA">
        <w:rPr>
          <w:rFonts w:ascii="Century Gothic" w:hAnsi="Century Gothic" w:cs="Century Gothic"/>
          <w:color w:val="000000"/>
          <w:sz w:val="18"/>
          <w:szCs w:val="18"/>
          <w:lang w:val="es-ES"/>
        </w:rPr>
        <w:t xml:space="preserve"> líder </w:t>
      </w:r>
      <w:r w:rsidRPr="00B22000" w:rsidR="00B22000">
        <w:rPr>
          <w:rFonts w:ascii="Century Gothic" w:hAnsi="Century Gothic" w:cs="Century Gothic"/>
          <w:color w:val="000000"/>
          <w:sz w:val="18"/>
          <w:szCs w:val="18"/>
        </w:rPr>
        <w:t xml:space="preserve">global en </w:t>
      </w:r>
      <w:proofErr w:type="spellStart"/>
      <w:r w:rsidRPr="00B22000" w:rsidR="00B22000">
        <w:rPr>
          <w:rFonts w:ascii="Century Gothic" w:hAnsi="Century Gothic" w:cs="Century Gothic"/>
          <w:color w:val="000000"/>
          <w:sz w:val="18"/>
          <w:szCs w:val="18"/>
        </w:rPr>
        <w:t>Benefits</w:t>
      </w:r>
      <w:proofErr w:type="spellEnd"/>
      <w:r w:rsidRPr="00B22000" w:rsidR="00B22000">
        <w:rPr>
          <w:rFonts w:ascii="Century Gothic" w:hAnsi="Century Gothic" w:cs="Century Gothic"/>
          <w:color w:val="000000"/>
          <w:sz w:val="18"/>
          <w:szCs w:val="18"/>
        </w:rPr>
        <w:t xml:space="preserve"> &amp; Engagement</w:t>
      </w:r>
      <w:r w:rsidRPr="00B22000">
        <w:rPr>
          <w:rFonts w:ascii="Century Gothic" w:hAnsi="Century Gothic" w:cs="Century Gothic"/>
          <w:color w:val="000000"/>
          <w:sz w:val="18"/>
          <w:szCs w:val="18"/>
        </w:rPr>
        <w:t xml:space="preserve"> y </w:t>
      </w:r>
      <w:proofErr w:type="spellStart"/>
      <w:r w:rsidRPr="00B22000" w:rsidR="00B22000">
        <w:rPr>
          <w:rFonts w:ascii="Century Gothic" w:hAnsi="Century Gothic" w:cs="Century Gothic"/>
          <w:color w:val="000000"/>
          <w:sz w:val="18"/>
          <w:szCs w:val="18"/>
        </w:rPr>
        <w:t>Movilidad</w:t>
      </w:r>
      <w:proofErr w:type="spellEnd"/>
      <w:r w:rsidRPr="00B22000">
        <w:rPr>
          <w:rFonts w:ascii="Century Gothic" w:hAnsi="Century Gothic" w:cs="Century Gothic"/>
          <w:color w:val="000000"/>
          <w:sz w:val="18"/>
          <w:szCs w:val="18"/>
        </w:rPr>
        <w:t>.</w:t>
      </w:r>
    </w:p>
    <w:p w:rsidRPr="000E5BEA" w:rsidR="000E5BEA" w:rsidP="000E5BEA" w:rsidRDefault="000E5BEA" w14:paraId="7F9CEADA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cs="Century Gothic"/>
          <w:color w:val="000000"/>
          <w:sz w:val="18"/>
          <w:szCs w:val="18"/>
          <w:lang w:val="es-ES"/>
        </w:rPr>
      </w:pPr>
    </w:p>
    <w:p w:rsidR="00DD27EF" w:rsidP="00DD27EF" w:rsidRDefault="00DD27EF" w14:paraId="12A8F790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Con más de 1 millón de empresas cliente en 44 países, la plataforma de Edenred ofrece a más de 60 millones de usuarios acceso a los servicios y productos de más de 2 millones de comercios asociados.</w:t>
      </w:r>
    </w:p>
    <w:p w:rsidRPr="00DD27EF" w:rsidR="00DD27EF" w:rsidP="00DD27EF" w:rsidRDefault="00DD27EF" w14:paraId="1D4A0E0A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="00DD27EF" w:rsidP="00DD27EF" w:rsidRDefault="00DD27EF" w14:paraId="772E0F60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Edenred proporciona soluciones digitales dirigidas a profesionales (vales de comida, transporte al trabajo, tarjetas regalo, bienestar, incentivos y ofertas preferentes), a gestores de flotas (soluciones </w:t>
      </w:r>
      <w:proofErr w:type="spellStart"/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multienergía</w:t>
      </w:r>
      <w:proofErr w:type="spellEnd"/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que incluyen recarga de vehículos eléctricos, servicios de mantenimiento, peajes y estacionamiento) y a pagos corporativos (tarjetas virtuales).</w:t>
      </w:r>
    </w:p>
    <w:p w:rsidRPr="00DD27EF" w:rsidR="00DD27EF" w:rsidP="00DD27EF" w:rsidRDefault="00DD27EF" w14:paraId="7F49FA9E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="00DD27EF" w:rsidP="00DD27EF" w:rsidRDefault="00DD27EF" w14:paraId="3D10BB54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Guiadas por el propósito del Grupo, </w:t>
      </w:r>
      <w:r w:rsidRPr="00DD27EF">
        <w:rPr>
          <w:rFonts w:ascii="Century Gothic" w:hAnsi="Century Gothic" w:eastAsia="Century Gothic" w:cs="Century Gothic"/>
          <w:i/>
          <w:iCs/>
          <w:color w:val="000000"/>
          <w:sz w:val="18"/>
          <w:szCs w:val="18"/>
          <w:lang w:val="es-ES"/>
        </w:rPr>
        <w:t>“</w:t>
      </w:r>
      <w:proofErr w:type="spellStart"/>
      <w:r w:rsidRPr="00DD27EF">
        <w:rPr>
          <w:rFonts w:ascii="Century Gothic" w:hAnsi="Century Gothic" w:eastAsia="Century Gothic" w:cs="Century Gothic"/>
          <w:i/>
          <w:iCs/>
          <w:color w:val="000000"/>
          <w:sz w:val="18"/>
          <w:szCs w:val="18"/>
          <w:lang w:val="es-ES"/>
        </w:rPr>
        <w:t>Enrich</w:t>
      </w:r>
      <w:proofErr w:type="spellEnd"/>
      <w:r w:rsidRPr="00DD27EF">
        <w:rPr>
          <w:rFonts w:ascii="Century Gothic" w:hAnsi="Century Gothic" w:eastAsia="Century Gothic" w:cs="Century Gothic"/>
          <w:i/>
          <w:iCs/>
          <w:color w:val="000000"/>
          <w:sz w:val="18"/>
          <w:szCs w:val="18"/>
          <w:lang w:val="es-ES"/>
        </w:rPr>
        <w:t xml:space="preserve"> </w:t>
      </w:r>
      <w:proofErr w:type="spellStart"/>
      <w:r w:rsidRPr="00DD27EF">
        <w:rPr>
          <w:rFonts w:ascii="Century Gothic" w:hAnsi="Century Gothic" w:eastAsia="Century Gothic" w:cs="Century Gothic"/>
          <w:i/>
          <w:iCs/>
          <w:color w:val="000000"/>
          <w:sz w:val="18"/>
          <w:szCs w:val="18"/>
          <w:lang w:val="es-ES"/>
        </w:rPr>
        <w:t>connections</w:t>
      </w:r>
      <w:proofErr w:type="spellEnd"/>
      <w:r w:rsidRPr="00DD27EF">
        <w:rPr>
          <w:rFonts w:ascii="Century Gothic" w:hAnsi="Century Gothic" w:eastAsia="Century Gothic" w:cs="Century Gothic"/>
          <w:i/>
          <w:iCs/>
          <w:color w:val="000000"/>
          <w:sz w:val="18"/>
          <w:szCs w:val="18"/>
          <w:lang w:val="es-ES"/>
        </w:rPr>
        <w:t xml:space="preserve">. For </w:t>
      </w:r>
      <w:proofErr w:type="spellStart"/>
      <w:r w:rsidRPr="00DD27EF">
        <w:rPr>
          <w:rFonts w:ascii="Century Gothic" w:hAnsi="Century Gothic" w:eastAsia="Century Gothic" w:cs="Century Gothic"/>
          <w:i/>
          <w:iCs/>
          <w:color w:val="000000"/>
          <w:sz w:val="18"/>
          <w:szCs w:val="18"/>
          <w:lang w:val="es-ES"/>
        </w:rPr>
        <w:t>good</w:t>
      </w:r>
      <w:proofErr w:type="spellEnd"/>
      <w:r w:rsidRPr="00DD27EF">
        <w:rPr>
          <w:rFonts w:ascii="Century Gothic" w:hAnsi="Century Gothic" w:eastAsia="Century Gothic" w:cs="Century Gothic"/>
          <w:i/>
          <w:iCs/>
          <w:color w:val="000000"/>
          <w:sz w:val="18"/>
          <w:szCs w:val="18"/>
          <w:lang w:val="es-ES"/>
        </w:rPr>
        <w:t>.”</w:t>
      </w:r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, estas soluciones mejoran el bienestar y el poder adquisitivo de los profesionales y simplifican la vida de los conductores profesionales. Asimismo, fomentan el acceso a una alimentación más saludable, a productos más respetuosos con el medioambiente y a una movilidad más sostenible. Además, contribuyen a mejorar la atractividad y la eficiencia de las empresas, dinamizando al mismo tiempo el mercado laboral y las economías locales.</w:t>
      </w:r>
    </w:p>
    <w:p w:rsidRPr="00DD27EF" w:rsidR="00DD27EF" w:rsidP="00DD27EF" w:rsidRDefault="00DD27EF" w14:paraId="7F24F92B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="00DD27EF" w:rsidP="00DD27EF" w:rsidRDefault="00DD27EF" w14:paraId="45EF5D42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Los 12.000 profesionales de Edenred trabajan cada día para hacer del mundo laboral un ecosistema más conectado, seguro, eficiente y responsable.</w:t>
      </w:r>
    </w:p>
    <w:p w:rsidRPr="00DD27EF" w:rsidR="00DD27EF" w:rsidP="00DD27EF" w:rsidRDefault="00DD27EF" w14:paraId="3C7A0BFB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="00DD27EF" w:rsidP="00DD27EF" w:rsidRDefault="00DD27EF" w14:paraId="0AD97B5B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En 2025, gracias a su plataforma tecnológica única, el Grupo generó un volumen de negocio de 49.000 millones de euros, principalmente a través de aplicaciones móviles, plataformas online y tarjetas.</w:t>
      </w:r>
    </w:p>
    <w:p w:rsidRPr="00DD27EF" w:rsidR="00DD27EF" w:rsidP="00DD27EF" w:rsidRDefault="00DD27EF" w14:paraId="44F03680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Pr="00DD27EF" w:rsidR="00DD27EF" w:rsidP="00DD27EF" w:rsidRDefault="00DD27EF" w14:paraId="545E0562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Edenred cotiza en la Bolsa de París (Euronext Paris) y forma parte de los siguientes índices: CAC Next 20, CAC Large 60, Euronext 100, Euronext Tech Leaders, FTSE4Good, DJSI Europe </w:t>
      </w:r>
      <w:proofErr w:type="spellStart"/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Index</w:t>
      </w:r>
      <w:proofErr w:type="spellEnd"/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y DJSI World </w:t>
      </w:r>
      <w:proofErr w:type="spellStart"/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Index</w:t>
      </w:r>
      <w:proofErr w:type="spellEnd"/>
      <w:r w:rsidRPr="00DD27E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.</w:t>
      </w:r>
    </w:p>
    <w:p w:rsidRPr="00833D4F" w:rsidR="0034131E" w:rsidP="000E5BEA" w:rsidRDefault="0034131E" w14:paraId="5BF9E4B4" w14:textId="7CB13C5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Pr="00833D4F" w:rsidR="0034131E" w:rsidRDefault="00E660F9" w14:paraId="1CC7A655" w14:textId="77777777">
      <w:pPr>
        <w:spacing w:line="240" w:lineRule="auto"/>
        <w:jc w:val="both"/>
        <w:rPr>
          <w:rFonts w:ascii="Century Gothic" w:hAnsi="Century Gothic" w:eastAsia="Century Gothic" w:cs="Century Gothic"/>
          <w:i/>
          <w:color w:val="000000"/>
          <w:sz w:val="16"/>
          <w:szCs w:val="16"/>
          <w:lang w:val="es-ES"/>
        </w:rPr>
      </w:pPr>
      <w:r w:rsidRPr="00833D4F">
        <w:rPr>
          <w:rFonts w:ascii="Century Gothic" w:hAnsi="Century Gothic" w:eastAsia="Century Gothic" w:cs="Century Gothic"/>
          <w:i/>
          <w:color w:val="000000"/>
          <w:sz w:val="16"/>
          <w:szCs w:val="16"/>
          <w:lang w:val="es-ES"/>
        </w:rPr>
        <w:t>Los logotipos y otras marcas mencionadas y destacadas en este comunicado de prensa son marcas registradas de Edenred S.E., sus filiales o terceros. No pueden utilizarse con fines comerciales sin el consentimiento previo por escrito de sus propietarios.</w:t>
      </w:r>
    </w:p>
    <w:p w:rsidRPr="00833D4F" w:rsidR="0034131E" w:rsidRDefault="0034131E" w14:paraId="60992604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Pr="00833D4F" w:rsidR="0034131E" w:rsidRDefault="0034131E" w14:paraId="6E54591E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b/>
          <w:color w:val="000000"/>
          <w:sz w:val="24"/>
          <w:szCs w:val="24"/>
          <w:lang w:val="es-ES"/>
        </w:rPr>
      </w:pPr>
    </w:p>
    <w:p w:rsidR="0034131E" w:rsidRDefault="00E660F9" w14:paraId="34EBC2CB" w14:textId="77777777">
      <w:pPr>
        <w:spacing w:line="254" w:lineRule="auto"/>
        <w:rPr>
          <w:rFonts w:ascii="Century Gothic" w:hAnsi="Century Gothic" w:eastAsia="Century Gothic" w:cs="Century Gothic"/>
          <w:b/>
          <w:color w:val="000000"/>
          <w:sz w:val="24"/>
          <w:szCs w:val="24"/>
        </w:rPr>
      </w:pPr>
      <w:r>
        <w:rPr>
          <w:rFonts w:ascii="Century Gothic" w:hAnsi="Century Gothic" w:eastAsia="Century Gothic" w:cs="Century Gothic"/>
          <w:b/>
          <w:color w:val="000000"/>
          <w:sz w:val="24"/>
          <w:szCs w:val="24"/>
        </w:rPr>
        <w:t>CONTACTO</w:t>
      </w:r>
    </w:p>
    <w:tbl>
      <w:tblPr>
        <w:tblStyle w:val="a"/>
        <w:tblW w:w="9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552"/>
      </w:tblGrid>
      <w:tr w:rsidR="0034131E" w14:paraId="10E87855" w14:textId="77777777">
        <w:trPr>
          <w:trHeight w:val="1725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31E" w:rsidRDefault="0034131E" w14:paraId="539CB8FE" w14:textId="77777777">
            <w:pPr>
              <w:jc w:val="both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</w:p>
          <w:p w:rsidR="0034131E" w:rsidRDefault="00E660F9" w14:paraId="3E71BA8C" w14:textId="77777777">
            <w:pPr>
              <w:jc w:val="both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  <w:t>Edenred</w:t>
            </w:r>
          </w:p>
          <w:p w:rsidR="0034131E" w:rsidRDefault="00E660F9" w14:paraId="2C0E5145" w14:textId="77777777">
            <w:pPr>
              <w:jc w:val="both"/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>Alejandro Delgado Sánchez</w:t>
            </w:r>
          </w:p>
          <w:p w:rsidR="0034131E" w:rsidRDefault="00E660F9" w14:paraId="3C5097B0" w14:textId="77777777">
            <w:pPr>
              <w:jc w:val="both"/>
            </w:pPr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 xml:space="preserve">Communications </w:t>
            </w:r>
            <w:proofErr w:type="spellStart"/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>Specialist</w:t>
            </w:r>
            <w:proofErr w:type="spellEnd"/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 xml:space="preserve"> </w:t>
            </w:r>
          </w:p>
          <w:p w:rsidR="0034131E" w:rsidRDefault="0034131E" w14:paraId="7AD809AF" w14:textId="77777777">
            <w:pPr>
              <w:jc w:val="both"/>
            </w:pPr>
            <w:hyperlink r:id="rId10">
              <w:r>
                <w:rPr>
                  <w:rFonts w:ascii="Century Gothic" w:hAnsi="Century Gothic" w:eastAsia="Century Gothic" w:cs="Century Gothic"/>
                  <w:color w:val="000000"/>
                  <w:sz w:val="16"/>
                  <w:szCs w:val="16"/>
                </w:rPr>
                <w:t>alejandro.delgadosanchez@edenred.com</w:t>
              </w:r>
            </w:hyperlink>
          </w:p>
          <w:p w:rsidR="0034131E" w:rsidRDefault="0034131E" w14:paraId="4CF87B1B" w14:textId="77777777">
            <w:pPr>
              <w:spacing w:line="251" w:lineRule="auto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4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31E" w:rsidRDefault="0034131E" w14:paraId="73979073" w14:textId="77777777">
            <w:pPr>
              <w:spacing w:line="251" w:lineRule="auto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</w:p>
          <w:p w:rsidR="0034131E" w:rsidRDefault="00E660F9" w14:paraId="188D7D39" w14:textId="77777777">
            <w:pPr>
              <w:spacing w:line="251" w:lineRule="auto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  <w:t>Newlink</w:t>
            </w:r>
            <w:proofErr w:type="spellEnd"/>
            <w:r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  <w:t xml:space="preserve"> Spain </w:t>
            </w:r>
          </w:p>
          <w:p w:rsidR="0034131E" w:rsidRDefault="00E660F9" w14:paraId="0709A77C" w14:textId="77777777">
            <w:pPr>
              <w:spacing w:line="251" w:lineRule="auto"/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>Marina Gascón | Patricia Vizcaíno | Sara García</w:t>
            </w:r>
          </w:p>
          <w:p w:rsidR="0034131E" w:rsidRDefault="00E660F9" w14:paraId="186B073B" w14:textId="77777777">
            <w:pPr>
              <w:spacing w:line="251" w:lineRule="auto"/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>651 96 34 59</w:t>
            </w:r>
          </w:p>
          <w:p w:rsidR="0034131E" w:rsidRDefault="0034131E" w14:paraId="5D012B56" w14:textId="77777777">
            <w:pPr>
              <w:spacing w:line="251" w:lineRule="auto"/>
            </w:pPr>
            <w:hyperlink r:id="rId11">
              <w:r>
                <w:rPr>
                  <w:rFonts w:ascii="Century Gothic" w:hAnsi="Century Gothic" w:eastAsia="Century Gothic" w:cs="Century Gothic"/>
                  <w:color w:val="000000"/>
                  <w:sz w:val="16"/>
                  <w:szCs w:val="16"/>
                </w:rPr>
                <w:t>equipo.edenred@newlink-group.com</w:t>
              </w:r>
            </w:hyperlink>
          </w:p>
        </w:tc>
      </w:tr>
    </w:tbl>
    <w:p w:rsidR="0034131E" w:rsidRDefault="0034131E" w14:paraId="71CD1086" w14:textId="77777777">
      <w:pPr>
        <w:ind w:left="141"/>
        <w:rPr>
          <w:color w:val="002060"/>
        </w:rPr>
      </w:pPr>
    </w:p>
    <w:p w:rsidR="0034131E" w:rsidRDefault="0034131E" w14:paraId="62FFDE23" w14:textId="77777777">
      <w:pPr>
        <w:tabs>
          <w:tab w:val="left" w:pos="2760"/>
        </w:tabs>
      </w:pPr>
    </w:p>
    <w:sectPr w:rsidR="0034131E">
      <w:footerReference w:type="default" r:id="rId12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106E1" w:rsidRDefault="004106E1" w14:paraId="24D022ED" w14:textId="77777777">
      <w:pPr>
        <w:spacing w:line="240" w:lineRule="auto"/>
      </w:pPr>
      <w:r>
        <w:separator/>
      </w:r>
    </w:p>
  </w:endnote>
  <w:endnote w:type="continuationSeparator" w:id="0">
    <w:p w:rsidR="004106E1" w:rsidRDefault="004106E1" w14:paraId="16E7717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0DF168B5-6A53-4872-BC6F-526412CDD08A}" r:id="rId1"/>
    <w:embedBold w:fontKey="{5362BF61-AE65-450A-84CB-EA9614DE3BB3}" r:id="rId2"/>
    <w:embedItalic w:fontKey="{A8D5130E-CD05-443A-B4E0-4DA4EBABF6FD}" r:id="rId3"/>
  </w:font>
  <w:font w:name="URW Gothic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94D0194B-F019-42D6-BE5E-2241C6720859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4A40248-4015-466C-AF07-E35BB0458B45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A9403BD-C185-447F-9E4D-F4803B49995A}" r:id="rId6"/>
    <w:embedItalic w:fontKey="{EA2E5DC8-49FA-4B82-8BEE-F8BF00E0E8EC}" r:id="rId7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4487813D-AE50-4E3B-A691-92A6825B4A88}" r:id="rId8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89BE2F1F-1BCB-436E-9B4C-73E3EB6FC981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4131E" w:rsidRDefault="00E660F9" w14:paraId="5B255193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CB540" wp14:editId="6EA21FC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25697" cy="337303"/>
          <wp:effectExtent l="0" t="0" r="0" b="0"/>
          <wp:wrapNone/>
          <wp:docPr id="82793767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697" cy="337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106E1" w:rsidRDefault="004106E1" w14:paraId="28B07DCA" w14:textId="77777777">
      <w:pPr>
        <w:spacing w:line="240" w:lineRule="auto"/>
      </w:pPr>
      <w:r>
        <w:separator/>
      </w:r>
    </w:p>
  </w:footnote>
  <w:footnote w:type="continuationSeparator" w:id="0">
    <w:p w:rsidR="004106E1" w:rsidRDefault="004106E1" w14:paraId="5F01893C" w14:textId="77777777">
      <w:pPr>
        <w:spacing w:line="240" w:lineRule="auto"/>
      </w:pPr>
      <w:r>
        <w:continuationSeparator/>
      </w:r>
    </w:p>
  </w:footnote>
  <w:footnote w:id="1">
    <w:p w:rsidRPr="00295F42" w:rsidR="006F503B" w:rsidRDefault="006F503B" w14:paraId="5D03FF32" w14:textId="3FA231AA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295F42" w:rsidR="00420B2F">
        <w:rPr>
          <w:lang w:val="es-ES"/>
        </w:rPr>
        <w:t>Normativa y metodología constantes.</w:t>
      </w:r>
    </w:p>
    <w:p w:rsidRPr="00295F42" w:rsidR="00B77553" w:rsidRDefault="00B77553" w14:paraId="6C9C771B" w14:textId="77777777">
      <w:pPr>
        <w:pStyle w:val="Textonotapie"/>
        <w:rPr>
          <w:lang w:val="es-ES"/>
        </w:rPr>
      </w:pPr>
    </w:p>
  </w:footnote>
  <w:footnote w:id="2">
    <w:p w:rsidRPr="00293519" w:rsidR="00293519" w:rsidP="00B77553" w:rsidRDefault="00293519" w14:paraId="224686BA" w14:textId="7D00E95B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B77553" w:rsidR="00B77553">
        <w:rPr>
          <w:lang w:val="es-ES"/>
        </w:rPr>
        <w:t>Excluyendo la amortización del precio de adquisición y otros ingresos y gastos, después de impuestos.</w:t>
      </w:r>
    </w:p>
  </w:footnote>
  <w:footnote w:id="3">
    <w:p w:rsidRPr="00B77553" w:rsidR="00B77553" w:rsidRDefault="00B77553" w14:paraId="56EB80B7" w14:textId="60996E5A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B77553">
        <w:rPr>
          <w:lang w:val="es-ES"/>
        </w:rPr>
        <w:t>A propuesta para su aprobación en la Junta General del 7 de mayo de 2026.</w:t>
      </w:r>
    </w:p>
  </w:footnote>
  <w:footnote w:id="4">
    <w:p w:rsidRPr="00713768" w:rsidR="00713768" w:rsidRDefault="00713768" w14:paraId="61272FA5" w14:textId="34018A19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proofErr w:type="spellStart"/>
      <w:r w:rsidR="00004095">
        <w:t>N</w:t>
      </w:r>
      <w:r w:rsidRPr="00004095" w:rsidR="00004095">
        <w:t>ormativa</w:t>
      </w:r>
      <w:proofErr w:type="spellEnd"/>
      <w:r w:rsidRPr="00004095" w:rsidR="00004095">
        <w:t xml:space="preserve"> y </w:t>
      </w:r>
      <w:proofErr w:type="spellStart"/>
      <w:r w:rsidRPr="00004095" w:rsidR="00004095">
        <w:t>metodologías</w:t>
      </w:r>
      <w:proofErr w:type="spellEnd"/>
      <w:r w:rsidRPr="00004095" w:rsidR="00004095">
        <w:t xml:space="preserve"> constantes (por </w:t>
      </w:r>
      <w:proofErr w:type="spellStart"/>
      <w:r w:rsidRPr="00004095" w:rsidR="00004095">
        <w:t>ejemplo</w:t>
      </w:r>
      <w:proofErr w:type="spellEnd"/>
      <w:r w:rsidRPr="00004095" w:rsidR="00004095">
        <w:t xml:space="preserve">, </w:t>
      </w:r>
      <w:proofErr w:type="spellStart"/>
      <w:r w:rsidRPr="00004095" w:rsidR="00004095">
        <w:t>excluyendo</w:t>
      </w:r>
      <w:proofErr w:type="spellEnd"/>
      <w:r w:rsidRPr="00004095" w:rsidR="00004095">
        <w:t xml:space="preserve"> el </w:t>
      </w:r>
      <w:proofErr w:type="spellStart"/>
      <w:r w:rsidRPr="00004095" w:rsidR="00004095">
        <w:t>impacto</w:t>
      </w:r>
      <w:proofErr w:type="spellEnd"/>
      <w:r w:rsidRPr="00004095" w:rsidR="00004095">
        <w:t xml:space="preserve"> de los </w:t>
      </w:r>
      <w:proofErr w:type="spellStart"/>
      <w:r w:rsidRPr="00004095" w:rsidR="00004095">
        <w:t>cambios</w:t>
      </w:r>
      <w:proofErr w:type="spellEnd"/>
      <w:r w:rsidRPr="00004095" w:rsidR="00004095">
        <w:t xml:space="preserve"> </w:t>
      </w:r>
      <w:proofErr w:type="spellStart"/>
      <w:r w:rsidRPr="00004095" w:rsidR="00004095">
        <w:t>regulatorios</w:t>
      </w:r>
      <w:proofErr w:type="spellEnd"/>
      <w:r w:rsidRPr="00004095" w:rsidR="00004095">
        <w:t xml:space="preserve"> en Brasil e Italia).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44AC5"/>
    <w:multiLevelType w:val="multilevel"/>
    <w:tmpl w:val="640A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C854FB0"/>
    <w:multiLevelType w:val="multilevel"/>
    <w:tmpl w:val="99C81776"/>
    <w:lvl w:ilvl="0">
      <w:start w:val="1"/>
      <w:numFmt w:val="decimal"/>
      <w:pStyle w:val="Box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B866DFC"/>
    <w:multiLevelType w:val="multilevel"/>
    <w:tmpl w:val="7BEEF018"/>
    <w:lvl w:ilvl="0">
      <w:start w:val="1"/>
      <w:numFmt w:val="bullet"/>
      <w:pStyle w:val="BulletLead-in2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2FB867B9"/>
    <w:multiLevelType w:val="hybridMultilevel"/>
    <w:tmpl w:val="0CB625B6"/>
    <w:lvl w:ilvl="0" w:tplc="5EC29DB8"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Century Gothic" w:cs="Century Gothic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19A13ED"/>
    <w:multiLevelType w:val="multilevel"/>
    <w:tmpl w:val="3A927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6342090"/>
    <w:multiLevelType w:val="multilevel"/>
    <w:tmpl w:val="D8D02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4B1BCF"/>
    <w:multiLevelType w:val="hybridMultilevel"/>
    <w:tmpl w:val="2F66B38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6A63E5F"/>
    <w:multiLevelType w:val="multilevel"/>
    <w:tmpl w:val="EA3E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789529C"/>
    <w:multiLevelType w:val="hybridMultilevel"/>
    <w:tmpl w:val="D3C26372"/>
    <w:lvl w:ilvl="0" w:tplc="0C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381B2547"/>
    <w:multiLevelType w:val="multilevel"/>
    <w:tmpl w:val="936C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3FA13BAB"/>
    <w:multiLevelType w:val="multilevel"/>
    <w:tmpl w:val="A6A2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0B21CF7"/>
    <w:multiLevelType w:val="multilevel"/>
    <w:tmpl w:val="E9B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447D3B1F"/>
    <w:multiLevelType w:val="multilevel"/>
    <w:tmpl w:val="A648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576F7F25"/>
    <w:multiLevelType w:val="multilevel"/>
    <w:tmpl w:val="21AE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5F14517E"/>
    <w:multiLevelType w:val="multilevel"/>
    <w:tmpl w:val="244E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63A45956"/>
    <w:multiLevelType w:val="multilevel"/>
    <w:tmpl w:val="28A6CB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URW Gothic" w:hAnsi="URW Gothic" w:eastAsia="URW Gothic" w:cs="URW Gothic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663B340A"/>
    <w:multiLevelType w:val="multilevel"/>
    <w:tmpl w:val="3A96FD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num w:numId="1" w16cid:durableId="1540246018">
    <w:abstractNumId w:val="2"/>
  </w:num>
  <w:num w:numId="2" w16cid:durableId="620915189">
    <w:abstractNumId w:val="1"/>
  </w:num>
  <w:num w:numId="3" w16cid:durableId="9502821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3698190">
    <w:abstractNumId w:val="0"/>
  </w:num>
  <w:num w:numId="5" w16cid:durableId="1620795933">
    <w:abstractNumId w:val="11"/>
  </w:num>
  <w:num w:numId="6" w16cid:durableId="615062920">
    <w:abstractNumId w:val="13"/>
  </w:num>
  <w:num w:numId="7" w16cid:durableId="1644777061">
    <w:abstractNumId w:val="8"/>
  </w:num>
  <w:num w:numId="8" w16cid:durableId="948393040">
    <w:abstractNumId w:val="6"/>
  </w:num>
  <w:num w:numId="9" w16cid:durableId="415787886">
    <w:abstractNumId w:val="16"/>
  </w:num>
  <w:num w:numId="10" w16cid:durableId="646012108">
    <w:abstractNumId w:val="4"/>
  </w:num>
  <w:num w:numId="11" w16cid:durableId="372310515">
    <w:abstractNumId w:val="9"/>
  </w:num>
  <w:num w:numId="12" w16cid:durableId="104082762">
    <w:abstractNumId w:val="3"/>
  </w:num>
  <w:num w:numId="13" w16cid:durableId="259801345">
    <w:abstractNumId w:val="15"/>
  </w:num>
  <w:num w:numId="14" w16cid:durableId="1071276580">
    <w:abstractNumId w:val="5"/>
  </w:num>
  <w:num w:numId="15" w16cid:durableId="1909462321">
    <w:abstractNumId w:val="12"/>
  </w:num>
  <w:num w:numId="16" w16cid:durableId="1562908601">
    <w:abstractNumId w:val="10"/>
  </w:num>
  <w:num w:numId="17" w16cid:durableId="713041676">
    <w:abstractNumId w:val="7"/>
  </w:num>
  <w:num w:numId="18" w16cid:durableId="5796023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1E"/>
    <w:rsid w:val="00001131"/>
    <w:rsid w:val="00004095"/>
    <w:rsid w:val="000068E3"/>
    <w:rsid w:val="00022255"/>
    <w:rsid w:val="00025630"/>
    <w:rsid w:val="00025F0A"/>
    <w:rsid w:val="00025F65"/>
    <w:rsid w:val="000323C6"/>
    <w:rsid w:val="00035309"/>
    <w:rsid w:val="0003750C"/>
    <w:rsid w:val="00041721"/>
    <w:rsid w:val="000417DA"/>
    <w:rsid w:val="0004474C"/>
    <w:rsid w:val="000512F0"/>
    <w:rsid w:val="00053526"/>
    <w:rsid w:val="0005490B"/>
    <w:rsid w:val="00054F03"/>
    <w:rsid w:val="00071659"/>
    <w:rsid w:val="0007216B"/>
    <w:rsid w:val="000873EB"/>
    <w:rsid w:val="00092205"/>
    <w:rsid w:val="000A4CBF"/>
    <w:rsid w:val="000B15B7"/>
    <w:rsid w:val="000E5BEA"/>
    <w:rsid w:val="000F4162"/>
    <w:rsid w:val="000F6F2F"/>
    <w:rsid w:val="00106125"/>
    <w:rsid w:val="00124824"/>
    <w:rsid w:val="00125440"/>
    <w:rsid w:val="001325F8"/>
    <w:rsid w:val="00133556"/>
    <w:rsid w:val="001361C7"/>
    <w:rsid w:val="001509D5"/>
    <w:rsid w:val="001533EB"/>
    <w:rsid w:val="0015572E"/>
    <w:rsid w:val="001724EC"/>
    <w:rsid w:val="0017574A"/>
    <w:rsid w:val="001832D9"/>
    <w:rsid w:val="0018413A"/>
    <w:rsid w:val="00187A61"/>
    <w:rsid w:val="00196D68"/>
    <w:rsid w:val="001B3304"/>
    <w:rsid w:val="001B6F44"/>
    <w:rsid w:val="001C4938"/>
    <w:rsid w:val="001D2A91"/>
    <w:rsid w:val="001D65D3"/>
    <w:rsid w:val="001D6EE6"/>
    <w:rsid w:val="001E738B"/>
    <w:rsid w:val="001F077B"/>
    <w:rsid w:val="001F472E"/>
    <w:rsid w:val="001F687B"/>
    <w:rsid w:val="001F79A2"/>
    <w:rsid w:val="002023FC"/>
    <w:rsid w:val="00202F85"/>
    <w:rsid w:val="00203447"/>
    <w:rsid w:val="0021067C"/>
    <w:rsid w:val="00215502"/>
    <w:rsid w:val="00220411"/>
    <w:rsid w:val="0023680A"/>
    <w:rsid w:val="00240BFF"/>
    <w:rsid w:val="00240C55"/>
    <w:rsid w:val="002500B4"/>
    <w:rsid w:val="0025118D"/>
    <w:rsid w:val="00251D9A"/>
    <w:rsid w:val="0026388D"/>
    <w:rsid w:val="002665DB"/>
    <w:rsid w:val="00282D32"/>
    <w:rsid w:val="00292119"/>
    <w:rsid w:val="00293519"/>
    <w:rsid w:val="00295F42"/>
    <w:rsid w:val="002A08A5"/>
    <w:rsid w:val="002A32F6"/>
    <w:rsid w:val="002A58F6"/>
    <w:rsid w:val="002AC8F9"/>
    <w:rsid w:val="002D4BFB"/>
    <w:rsid w:val="002E2116"/>
    <w:rsid w:val="002E2D5A"/>
    <w:rsid w:val="002E4084"/>
    <w:rsid w:val="002F6B0B"/>
    <w:rsid w:val="00306C54"/>
    <w:rsid w:val="00316012"/>
    <w:rsid w:val="00323902"/>
    <w:rsid w:val="003242B0"/>
    <w:rsid w:val="0033161C"/>
    <w:rsid w:val="0034131E"/>
    <w:rsid w:val="00346AD9"/>
    <w:rsid w:val="003470F9"/>
    <w:rsid w:val="00350B2A"/>
    <w:rsid w:val="00352B26"/>
    <w:rsid w:val="003530F0"/>
    <w:rsid w:val="00356430"/>
    <w:rsid w:val="0035750B"/>
    <w:rsid w:val="0037071E"/>
    <w:rsid w:val="00372049"/>
    <w:rsid w:val="00372C87"/>
    <w:rsid w:val="003845A2"/>
    <w:rsid w:val="003871DC"/>
    <w:rsid w:val="0039534F"/>
    <w:rsid w:val="003A6ABA"/>
    <w:rsid w:val="003B08CC"/>
    <w:rsid w:val="003B1B90"/>
    <w:rsid w:val="003B6073"/>
    <w:rsid w:val="003C0022"/>
    <w:rsid w:val="003D2293"/>
    <w:rsid w:val="003D5524"/>
    <w:rsid w:val="003E2FB8"/>
    <w:rsid w:val="003E7120"/>
    <w:rsid w:val="004106E1"/>
    <w:rsid w:val="004162FF"/>
    <w:rsid w:val="00420B2F"/>
    <w:rsid w:val="00427E2A"/>
    <w:rsid w:val="00440013"/>
    <w:rsid w:val="004402DC"/>
    <w:rsid w:val="0045258F"/>
    <w:rsid w:val="0045496E"/>
    <w:rsid w:val="00457E63"/>
    <w:rsid w:val="0047282A"/>
    <w:rsid w:val="004947B0"/>
    <w:rsid w:val="004B0ABE"/>
    <w:rsid w:val="004B1BA1"/>
    <w:rsid w:val="004B6C7F"/>
    <w:rsid w:val="004C0418"/>
    <w:rsid w:val="004C218A"/>
    <w:rsid w:val="004D721E"/>
    <w:rsid w:val="004E5017"/>
    <w:rsid w:val="00504A98"/>
    <w:rsid w:val="00505983"/>
    <w:rsid w:val="00505EFC"/>
    <w:rsid w:val="005160D2"/>
    <w:rsid w:val="00550198"/>
    <w:rsid w:val="005667E4"/>
    <w:rsid w:val="0057489F"/>
    <w:rsid w:val="00577129"/>
    <w:rsid w:val="00582CBC"/>
    <w:rsid w:val="00584BD2"/>
    <w:rsid w:val="00584EC4"/>
    <w:rsid w:val="00590726"/>
    <w:rsid w:val="005A0C33"/>
    <w:rsid w:val="005A49F7"/>
    <w:rsid w:val="005C31B6"/>
    <w:rsid w:val="005D09EE"/>
    <w:rsid w:val="005D44D8"/>
    <w:rsid w:val="005D5C33"/>
    <w:rsid w:val="005E195F"/>
    <w:rsid w:val="005F1892"/>
    <w:rsid w:val="00600759"/>
    <w:rsid w:val="006053DD"/>
    <w:rsid w:val="00605A7B"/>
    <w:rsid w:val="006161AE"/>
    <w:rsid w:val="00643AAD"/>
    <w:rsid w:val="00665B97"/>
    <w:rsid w:val="006662D7"/>
    <w:rsid w:val="006665A6"/>
    <w:rsid w:val="006674B5"/>
    <w:rsid w:val="00667F07"/>
    <w:rsid w:val="0068486D"/>
    <w:rsid w:val="00693B0A"/>
    <w:rsid w:val="006A2018"/>
    <w:rsid w:val="006C0F32"/>
    <w:rsid w:val="006C703E"/>
    <w:rsid w:val="006D0E3A"/>
    <w:rsid w:val="006D4363"/>
    <w:rsid w:val="006E4D06"/>
    <w:rsid w:val="006F503B"/>
    <w:rsid w:val="00705CB8"/>
    <w:rsid w:val="00711AC4"/>
    <w:rsid w:val="00713768"/>
    <w:rsid w:val="00713AC2"/>
    <w:rsid w:val="00714118"/>
    <w:rsid w:val="007142AE"/>
    <w:rsid w:val="0071623A"/>
    <w:rsid w:val="00720D3A"/>
    <w:rsid w:val="00726216"/>
    <w:rsid w:val="00736ABB"/>
    <w:rsid w:val="00741E0C"/>
    <w:rsid w:val="007464E8"/>
    <w:rsid w:val="00751D20"/>
    <w:rsid w:val="007526FE"/>
    <w:rsid w:val="00754BD4"/>
    <w:rsid w:val="0075745C"/>
    <w:rsid w:val="007624FC"/>
    <w:rsid w:val="00766BAF"/>
    <w:rsid w:val="0078018B"/>
    <w:rsid w:val="007818AD"/>
    <w:rsid w:val="007939DF"/>
    <w:rsid w:val="00793DB6"/>
    <w:rsid w:val="007A18EE"/>
    <w:rsid w:val="007A254F"/>
    <w:rsid w:val="007A4627"/>
    <w:rsid w:val="007A4899"/>
    <w:rsid w:val="007B551B"/>
    <w:rsid w:val="007C753D"/>
    <w:rsid w:val="007C7B55"/>
    <w:rsid w:val="007D1E1B"/>
    <w:rsid w:val="007D3A70"/>
    <w:rsid w:val="007E0322"/>
    <w:rsid w:val="007E0FDF"/>
    <w:rsid w:val="007F01E3"/>
    <w:rsid w:val="007F361A"/>
    <w:rsid w:val="0080549B"/>
    <w:rsid w:val="0081117A"/>
    <w:rsid w:val="00816D2B"/>
    <w:rsid w:val="0083385A"/>
    <w:rsid w:val="00833D4F"/>
    <w:rsid w:val="0084066C"/>
    <w:rsid w:val="00857B31"/>
    <w:rsid w:val="00867695"/>
    <w:rsid w:val="008772FF"/>
    <w:rsid w:val="00880B27"/>
    <w:rsid w:val="0088228D"/>
    <w:rsid w:val="0088391F"/>
    <w:rsid w:val="0089688A"/>
    <w:rsid w:val="008B1380"/>
    <w:rsid w:val="008B282B"/>
    <w:rsid w:val="008B3796"/>
    <w:rsid w:val="008B41AE"/>
    <w:rsid w:val="008C1849"/>
    <w:rsid w:val="008C5C42"/>
    <w:rsid w:val="008D40B2"/>
    <w:rsid w:val="008D4734"/>
    <w:rsid w:val="008D77A2"/>
    <w:rsid w:val="008F4B3F"/>
    <w:rsid w:val="008F64D6"/>
    <w:rsid w:val="0091303A"/>
    <w:rsid w:val="00915638"/>
    <w:rsid w:val="00922EAE"/>
    <w:rsid w:val="0092607F"/>
    <w:rsid w:val="00936408"/>
    <w:rsid w:val="00941FE5"/>
    <w:rsid w:val="009437D4"/>
    <w:rsid w:val="0096069A"/>
    <w:rsid w:val="00963D99"/>
    <w:rsid w:val="00971FE1"/>
    <w:rsid w:val="0097713A"/>
    <w:rsid w:val="00980339"/>
    <w:rsid w:val="009A6777"/>
    <w:rsid w:val="009A6BE4"/>
    <w:rsid w:val="009C2205"/>
    <w:rsid w:val="009C2F55"/>
    <w:rsid w:val="009D71F7"/>
    <w:rsid w:val="009E4AFC"/>
    <w:rsid w:val="009F4EA4"/>
    <w:rsid w:val="009F5D79"/>
    <w:rsid w:val="00A0047A"/>
    <w:rsid w:val="00A07989"/>
    <w:rsid w:val="00A120D0"/>
    <w:rsid w:val="00A12632"/>
    <w:rsid w:val="00A153E8"/>
    <w:rsid w:val="00A329FB"/>
    <w:rsid w:val="00A367C9"/>
    <w:rsid w:val="00A446DD"/>
    <w:rsid w:val="00A458BE"/>
    <w:rsid w:val="00A50C82"/>
    <w:rsid w:val="00A514EC"/>
    <w:rsid w:val="00A51A29"/>
    <w:rsid w:val="00A63651"/>
    <w:rsid w:val="00A6484B"/>
    <w:rsid w:val="00A75C6D"/>
    <w:rsid w:val="00A76561"/>
    <w:rsid w:val="00A95D2A"/>
    <w:rsid w:val="00AA3086"/>
    <w:rsid w:val="00AC25DE"/>
    <w:rsid w:val="00AD5033"/>
    <w:rsid w:val="00AE6FF0"/>
    <w:rsid w:val="00B127EA"/>
    <w:rsid w:val="00B15D8C"/>
    <w:rsid w:val="00B22000"/>
    <w:rsid w:val="00B35B98"/>
    <w:rsid w:val="00B36B85"/>
    <w:rsid w:val="00B43D04"/>
    <w:rsid w:val="00B52170"/>
    <w:rsid w:val="00B70AFB"/>
    <w:rsid w:val="00B77553"/>
    <w:rsid w:val="00B96983"/>
    <w:rsid w:val="00BA70E9"/>
    <w:rsid w:val="00BB29B5"/>
    <w:rsid w:val="00BB4148"/>
    <w:rsid w:val="00BC6A55"/>
    <w:rsid w:val="00BC7B11"/>
    <w:rsid w:val="00BD0652"/>
    <w:rsid w:val="00BD2594"/>
    <w:rsid w:val="00BE1228"/>
    <w:rsid w:val="00BE6191"/>
    <w:rsid w:val="00BF2B92"/>
    <w:rsid w:val="00C03BAF"/>
    <w:rsid w:val="00C07913"/>
    <w:rsid w:val="00C355E6"/>
    <w:rsid w:val="00C40BEB"/>
    <w:rsid w:val="00C53F92"/>
    <w:rsid w:val="00C54FD6"/>
    <w:rsid w:val="00C62290"/>
    <w:rsid w:val="00C85D30"/>
    <w:rsid w:val="00CA154F"/>
    <w:rsid w:val="00CA6FAD"/>
    <w:rsid w:val="00CB3941"/>
    <w:rsid w:val="00CB5AED"/>
    <w:rsid w:val="00CB702A"/>
    <w:rsid w:val="00CB791B"/>
    <w:rsid w:val="00CD5537"/>
    <w:rsid w:val="00CE15AF"/>
    <w:rsid w:val="00D03656"/>
    <w:rsid w:val="00D13FE4"/>
    <w:rsid w:val="00D1622C"/>
    <w:rsid w:val="00D17EE6"/>
    <w:rsid w:val="00D3189C"/>
    <w:rsid w:val="00D339B9"/>
    <w:rsid w:val="00D60657"/>
    <w:rsid w:val="00D77A2F"/>
    <w:rsid w:val="00D803AC"/>
    <w:rsid w:val="00D87718"/>
    <w:rsid w:val="00D91B81"/>
    <w:rsid w:val="00D92E54"/>
    <w:rsid w:val="00D92F2E"/>
    <w:rsid w:val="00DA44E2"/>
    <w:rsid w:val="00DA4651"/>
    <w:rsid w:val="00DB05D1"/>
    <w:rsid w:val="00DB0FC4"/>
    <w:rsid w:val="00DD27EF"/>
    <w:rsid w:val="00DD5276"/>
    <w:rsid w:val="00DE0B37"/>
    <w:rsid w:val="00DE42DC"/>
    <w:rsid w:val="00DE7FC7"/>
    <w:rsid w:val="00DF1697"/>
    <w:rsid w:val="00E006BE"/>
    <w:rsid w:val="00E06DEB"/>
    <w:rsid w:val="00E21942"/>
    <w:rsid w:val="00E21E9B"/>
    <w:rsid w:val="00E22330"/>
    <w:rsid w:val="00E36C9E"/>
    <w:rsid w:val="00E52092"/>
    <w:rsid w:val="00E62368"/>
    <w:rsid w:val="00E660F9"/>
    <w:rsid w:val="00E7181B"/>
    <w:rsid w:val="00E72906"/>
    <w:rsid w:val="00E73445"/>
    <w:rsid w:val="00E82000"/>
    <w:rsid w:val="00E8331B"/>
    <w:rsid w:val="00E83C62"/>
    <w:rsid w:val="00E847E1"/>
    <w:rsid w:val="00E87CFB"/>
    <w:rsid w:val="00E95017"/>
    <w:rsid w:val="00E96913"/>
    <w:rsid w:val="00EA2718"/>
    <w:rsid w:val="00EA5BD2"/>
    <w:rsid w:val="00EB2FEF"/>
    <w:rsid w:val="00ED40D2"/>
    <w:rsid w:val="00ED61EE"/>
    <w:rsid w:val="00ED7249"/>
    <w:rsid w:val="00EE2FCB"/>
    <w:rsid w:val="00EF143C"/>
    <w:rsid w:val="00F0119D"/>
    <w:rsid w:val="00F06410"/>
    <w:rsid w:val="00F127EF"/>
    <w:rsid w:val="00F16D4A"/>
    <w:rsid w:val="00F205CD"/>
    <w:rsid w:val="00F22467"/>
    <w:rsid w:val="00F300B0"/>
    <w:rsid w:val="00F30A2E"/>
    <w:rsid w:val="00F348CD"/>
    <w:rsid w:val="00F42A44"/>
    <w:rsid w:val="00F43594"/>
    <w:rsid w:val="00F44031"/>
    <w:rsid w:val="00F539A2"/>
    <w:rsid w:val="00F600BE"/>
    <w:rsid w:val="00F65124"/>
    <w:rsid w:val="00F71D13"/>
    <w:rsid w:val="00F74CB2"/>
    <w:rsid w:val="00F92ECE"/>
    <w:rsid w:val="00F964D3"/>
    <w:rsid w:val="00FC5675"/>
    <w:rsid w:val="00FD4C4E"/>
    <w:rsid w:val="00FD76EF"/>
    <w:rsid w:val="00FE17FD"/>
    <w:rsid w:val="00FE19E7"/>
    <w:rsid w:val="00FE7B55"/>
    <w:rsid w:val="00FF4442"/>
    <w:rsid w:val="05F2F5FE"/>
    <w:rsid w:val="065F4BB8"/>
    <w:rsid w:val="09EFB7A2"/>
    <w:rsid w:val="0E6A4D40"/>
    <w:rsid w:val="0EACD5B9"/>
    <w:rsid w:val="13EBFE23"/>
    <w:rsid w:val="160D062E"/>
    <w:rsid w:val="1BC155E2"/>
    <w:rsid w:val="1DD92EDD"/>
    <w:rsid w:val="213CBF0C"/>
    <w:rsid w:val="2196402C"/>
    <w:rsid w:val="21EC79F4"/>
    <w:rsid w:val="23AE8FDB"/>
    <w:rsid w:val="25D5E126"/>
    <w:rsid w:val="26D8F9FE"/>
    <w:rsid w:val="2823BA89"/>
    <w:rsid w:val="2B526E90"/>
    <w:rsid w:val="2BCF5C3B"/>
    <w:rsid w:val="308CE62E"/>
    <w:rsid w:val="34FEDFA7"/>
    <w:rsid w:val="369F593A"/>
    <w:rsid w:val="374C9155"/>
    <w:rsid w:val="375BD748"/>
    <w:rsid w:val="383814D8"/>
    <w:rsid w:val="38B4911A"/>
    <w:rsid w:val="3B008945"/>
    <w:rsid w:val="3BA2837A"/>
    <w:rsid w:val="3C53924A"/>
    <w:rsid w:val="3F5437B4"/>
    <w:rsid w:val="41641B85"/>
    <w:rsid w:val="4959E5F3"/>
    <w:rsid w:val="4BE621DD"/>
    <w:rsid w:val="4CCE9515"/>
    <w:rsid w:val="50F06A75"/>
    <w:rsid w:val="524D17EB"/>
    <w:rsid w:val="5305EDC2"/>
    <w:rsid w:val="53BD2348"/>
    <w:rsid w:val="546A92CD"/>
    <w:rsid w:val="5898401E"/>
    <w:rsid w:val="5DA99854"/>
    <w:rsid w:val="663B0077"/>
    <w:rsid w:val="70C8D37E"/>
    <w:rsid w:val="7433E11C"/>
    <w:rsid w:val="7871484E"/>
    <w:rsid w:val="79BE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4EEC3"/>
  <w15:docId w15:val="{6C03D76B-DA03-406D-A78D-61B9D3E7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color w:val="11204C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line="260" w:lineRule="atLeast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ind w:left="708"/>
      <w:outlineLvl w:val="0"/>
    </w:pPr>
    <w:rPr>
      <w:rFonts w:eastAsia="MS Gothic"/>
      <w:b/>
      <w:bCs/>
      <w:color w:val="17153B"/>
      <w:sz w:val="28"/>
      <w:szCs w:val="28"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1"/>
    </w:pPr>
    <w:rPr>
      <w:rFonts w:eastAsia="MS Gothic"/>
      <w:b/>
      <w:bCs/>
      <w:color w:val="201C50"/>
      <w:sz w:val="26"/>
      <w:szCs w:val="26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2"/>
    </w:pPr>
    <w:rPr>
      <w:rFonts w:eastAsia="MS Gothic"/>
      <w:b/>
      <w:bCs/>
      <w:color w:val="201C50"/>
      <w:szCs w:val="22"/>
      <w:lang w:val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spacing w:line="240" w:lineRule="auto"/>
    </w:pPr>
    <w:rPr>
      <w:rFonts w:ascii="Century Gothic" w:hAnsi="Century Gothic"/>
      <w:color w:val="auto"/>
      <w:sz w:val="28"/>
    </w:rPr>
  </w:style>
  <w:style w:type="paragraph" w:styleId="Piedepgina">
    <w:name w:val="footer"/>
    <w:basedOn w:val="Normal"/>
    <w:pPr>
      <w:tabs>
        <w:tab w:val="center" w:pos="4536"/>
        <w:tab w:val="right" w:pos="9072"/>
      </w:tabs>
      <w:spacing w:line="240" w:lineRule="auto"/>
    </w:pPr>
  </w:style>
  <w:style w:type="paragraph" w:styleId="EdenredDate" w:customStyle="1">
    <w:name w:val="Edenred Date"/>
    <w:basedOn w:val="Encabezado"/>
    <w:pPr>
      <w:jc w:val="right"/>
    </w:pPr>
    <w:rPr>
      <w:sz w:val="20"/>
    </w:rPr>
  </w:style>
  <w:style w:type="paragraph" w:styleId="EdenredTitle" w:customStyle="1">
    <w:name w:val="Edenred Title"/>
    <w:basedOn w:val="Text"/>
    <w:rPr>
      <w:color w:val="162056"/>
      <w:sz w:val="40"/>
      <w:szCs w:val="40"/>
    </w:rPr>
  </w:style>
  <w:style w:type="paragraph" w:styleId="Edenredsubtitle" w:customStyle="1">
    <w:name w:val="Edenred subtitle"/>
    <w:basedOn w:val="Normal"/>
    <w:pPr>
      <w:spacing w:line="254" w:lineRule="auto"/>
      <w:jc w:val="both"/>
    </w:pPr>
    <w:rPr>
      <w:rFonts w:ascii="Century Gothic" w:hAnsi="Century Gothic"/>
      <w:color w:val="003591"/>
      <w:sz w:val="30"/>
      <w:szCs w:val="30"/>
      <w:lang w:val="en-US"/>
    </w:rPr>
  </w:style>
  <w:style w:type="paragraph" w:styleId="Text" w:customStyle="1">
    <w:name w:val="Text"/>
    <w:basedOn w:val="Normal"/>
    <w:pPr>
      <w:spacing w:line="254" w:lineRule="auto"/>
      <w:jc w:val="both"/>
    </w:pPr>
    <w:rPr>
      <w:rFonts w:ascii="Century Gothic" w:hAnsi="Century Gothic"/>
      <w:color w:val="auto"/>
      <w:lang w:val="en-US"/>
    </w:rPr>
  </w:style>
  <w:style w:type="character" w:styleId="PiedepginaCar" w:customStyle="1">
    <w:name w:val="Pie de página Car"/>
    <w:basedOn w:val="Fuentedeprrafopredeter"/>
    <w:rPr>
      <w:rFonts w:ascii="Arial" w:hAnsi="Arial"/>
      <w:color w:val="11204C"/>
      <w:lang w:eastAsia="en-US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rPr>
      <w:rFonts w:ascii="Tahoma" w:hAnsi="Tahoma" w:cs="Tahoma"/>
      <w:color w:val="11204C"/>
      <w:sz w:val="16"/>
      <w:szCs w:val="16"/>
      <w:lang w:eastAsia="en-US"/>
    </w:rPr>
  </w:style>
  <w:style w:type="paragraph" w:styleId="Page" w:customStyle="1">
    <w:name w:val="Page"/>
    <w:basedOn w:val="Normal"/>
    <w:pPr>
      <w:jc w:val="right"/>
    </w:pPr>
    <w:rPr>
      <w:sz w:val="16"/>
    </w:rPr>
  </w:style>
  <w:style w:type="character" w:styleId="TextCar" w:customStyle="1">
    <w:name w:val="Text Car"/>
    <w:rPr>
      <w:rFonts w:ascii="Century Gothic" w:hAnsi="Century Gothic" w:cs="Arial"/>
      <w:lang w:val="en-US" w:eastAsia="en-US"/>
    </w:rPr>
  </w:style>
  <w:style w:type="paragraph" w:styleId="Textonotapie">
    <w:name w:val="footnote text"/>
    <w:basedOn w:val="Normal"/>
    <w:pPr>
      <w:spacing w:line="240" w:lineRule="auto"/>
    </w:pPr>
    <w:rPr>
      <w:rFonts w:ascii="Century Gothic" w:hAnsi="Century Gothic"/>
      <w:color w:val="auto"/>
      <w:sz w:val="14"/>
    </w:rPr>
  </w:style>
  <w:style w:type="character" w:styleId="TextonotapieCar" w:customStyle="1">
    <w:name w:val="Texto nota pie Car"/>
    <w:rPr>
      <w:rFonts w:ascii="Century Gothic" w:hAnsi="Century Gothic"/>
      <w:sz w:val="14"/>
      <w:lang w:eastAsia="en-US"/>
    </w:rPr>
  </w:style>
  <w:style w:type="character" w:styleId="Refdenotaalpie">
    <w:name w:val="footnote reference"/>
    <w:rPr>
      <w:position w:val="0"/>
      <w:vertAlign w:val="superscript"/>
    </w:rPr>
  </w:style>
  <w:style w:type="character" w:styleId="Ttulo1Car" w:customStyle="1">
    <w:name w:val="Título 1 Car"/>
    <w:rPr>
      <w:rFonts w:ascii="Arial" w:hAnsi="Arial" w:eastAsia="MS Gothic"/>
      <w:b/>
      <w:bCs/>
      <w:color w:val="17153B"/>
      <w:sz w:val="28"/>
      <w:szCs w:val="28"/>
      <w:lang w:val="en-US" w:eastAsia="en-US"/>
    </w:rPr>
  </w:style>
  <w:style w:type="character" w:styleId="Ttulo2Car" w:customStyle="1">
    <w:name w:val="Título 2 Car"/>
    <w:rPr>
      <w:rFonts w:ascii="Arial" w:hAnsi="Arial" w:eastAsia="MS Gothic"/>
      <w:b/>
      <w:bCs/>
      <w:color w:val="201C50"/>
      <w:sz w:val="26"/>
      <w:szCs w:val="26"/>
      <w:lang w:val="en-US" w:eastAsia="en-US"/>
    </w:rPr>
  </w:style>
  <w:style w:type="character" w:styleId="Ttulo3Car" w:customStyle="1">
    <w:name w:val="Título 3 Car"/>
    <w:rPr>
      <w:rFonts w:ascii="Arial" w:hAnsi="Arial" w:eastAsia="MS Gothic"/>
      <w:b/>
      <w:bCs/>
      <w:color w:val="201C50"/>
      <w:szCs w:val="22"/>
      <w:lang w:val="en-US" w:eastAsia="en-US"/>
    </w:rPr>
  </w:style>
  <w:style w:type="paragraph" w:styleId="Title1" w:customStyle="1">
    <w:name w:val="Title 1"/>
    <w:basedOn w:val="Normal"/>
    <w:pPr>
      <w:spacing w:line="254" w:lineRule="auto"/>
      <w:jc w:val="both"/>
    </w:pPr>
    <w:rPr>
      <w:rFonts w:ascii="Century Gothic" w:hAnsi="Century Gothic"/>
      <w:b/>
      <w:color w:val="003591"/>
      <w:sz w:val="28"/>
      <w:szCs w:val="28"/>
      <w:lang w:val="en-US" w:eastAsia="fr-FR"/>
    </w:rPr>
  </w:style>
  <w:style w:type="character" w:styleId="Title1Car" w:customStyle="1">
    <w:name w:val="Title 1 Car"/>
    <w:rPr>
      <w:rFonts w:ascii="Century Gothic" w:hAnsi="Century Gothic" w:cs="Arial"/>
      <w:b/>
      <w:color w:val="003591"/>
      <w:sz w:val="28"/>
      <w:szCs w:val="28"/>
      <w:lang w:val="en-US"/>
    </w:rPr>
  </w:style>
  <w:style w:type="paragraph" w:styleId="Title2" w:customStyle="1">
    <w:name w:val="Title 2"/>
    <w:basedOn w:val="Normal"/>
    <w:next w:val="Normal"/>
    <w:pPr>
      <w:spacing w:line="276" w:lineRule="auto"/>
      <w:jc w:val="both"/>
    </w:pPr>
    <w:rPr>
      <w:rFonts w:ascii="Century Gothic" w:hAnsi="Century Gothic"/>
      <w:b/>
      <w:color w:val="003591"/>
      <w:sz w:val="24"/>
      <w:szCs w:val="24"/>
      <w:lang w:val="en-US"/>
    </w:rPr>
  </w:style>
  <w:style w:type="character" w:styleId="Title2Car" w:customStyle="1">
    <w:name w:val="Title 2 Car"/>
    <w:rPr>
      <w:rFonts w:ascii="Century Gothic" w:hAnsi="Century Gothic" w:cs="Arial"/>
      <w:b/>
      <w:color w:val="003591"/>
      <w:sz w:val="24"/>
      <w:szCs w:val="24"/>
      <w:lang w:val="en-US" w:eastAsia="en-US"/>
    </w:rPr>
  </w:style>
  <w:style w:type="paragraph" w:styleId="BulletLead-in1" w:customStyle="1">
    <w:name w:val="Bullet Lead-in 1"/>
    <w:basedOn w:val="Normal"/>
    <w:pPr>
      <w:spacing w:line="254" w:lineRule="auto"/>
      <w:contextualSpacing/>
      <w:jc w:val="both"/>
    </w:pPr>
    <w:rPr>
      <w:rFonts w:ascii="Century Gothic" w:hAnsi="Century Gothic"/>
      <w:b/>
      <w:color w:val="auto"/>
      <w:lang w:val="en-US"/>
    </w:rPr>
  </w:style>
  <w:style w:type="character" w:styleId="BulletLead-in1Car" w:customStyle="1">
    <w:name w:val="Bullet Lead-in 1 Car"/>
    <w:rPr>
      <w:rFonts w:ascii="Century Gothic" w:hAnsi="Century Gothic" w:cs="Arial"/>
      <w:b/>
      <w:lang w:val="en-US" w:eastAsia="en-US"/>
    </w:rPr>
  </w:style>
  <w:style w:type="paragraph" w:styleId="BulletLead-in2" w:customStyle="1">
    <w:name w:val="Bullet Lead-in 2"/>
    <w:basedOn w:val="Normal"/>
    <w:pPr>
      <w:numPr>
        <w:numId w:val="1"/>
      </w:numPr>
    </w:pPr>
    <w:rPr>
      <w:rFonts w:ascii="Century Gothic" w:hAnsi="Century Gothic"/>
      <w:color w:val="auto"/>
    </w:rPr>
  </w:style>
  <w:style w:type="character" w:styleId="BulletLead-in2Car" w:customStyle="1">
    <w:name w:val="Bullet Lead-in 2 Car"/>
    <w:rPr>
      <w:rFonts w:ascii="Century Gothic" w:hAnsi="Century Gothic"/>
      <w:lang w:eastAsia="en-US"/>
    </w:rPr>
  </w:style>
  <w:style w:type="paragraph" w:styleId="TtuloTDC">
    <w:name w:val="TOC Heading"/>
    <w:basedOn w:val="Ttulo1"/>
    <w:next w:val="Normal"/>
    <w:rPr>
      <w:lang w:eastAsia="fr-FR"/>
    </w:rPr>
  </w:style>
  <w:style w:type="paragraph" w:styleId="Textoindependiente">
    <w:name w:val="Body Text"/>
    <w:basedOn w:val="Normal"/>
    <w:pPr>
      <w:spacing w:after="120" w:line="276" w:lineRule="auto"/>
      <w:ind w:left="708"/>
    </w:pPr>
    <w:rPr>
      <w:color w:val="002060"/>
      <w:szCs w:val="22"/>
      <w:lang w:val="en-US"/>
    </w:rPr>
  </w:style>
  <w:style w:type="character" w:styleId="TextoindependienteCar" w:customStyle="1">
    <w:name w:val="Texto independiente Car"/>
    <w:rPr>
      <w:rFonts w:ascii="Arial" w:hAnsi="Arial" w:eastAsia="Arial"/>
      <w:color w:val="002060"/>
      <w:szCs w:val="22"/>
      <w:lang w:val="en-US" w:eastAsia="en-US"/>
    </w:rPr>
  </w:style>
  <w:style w:type="character" w:styleId="EncabezadoCar" w:customStyle="1">
    <w:name w:val="Encabezado Car"/>
    <w:rPr>
      <w:rFonts w:ascii="Century Gothic" w:hAnsi="Century Gothic"/>
      <w:sz w:val="28"/>
      <w:lang w:eastAsia="en-US"/>
    </w:rPr>
  </w:style>
  <w:style w:type="character" w:styleId="Hipervnculo">
    <w:name w:val="Hyperlink"/>
    <w:rPr>
      <w:color w:val="55517B"/>
    </w:rPr>
  </w:style>
  <w:style w:type="paragraph" w:styleId="Textonotaalfinal">
    <w:name w:val="endnote text"/>
    <w:basedOn w:val="Normal"/>
    <w:pPr>
      <w:spacing w:line="240" w:lineRule="auto"/>
      <w:ind w:left="708"/>
    </w:pPr>
    <w:rPr>
      <w:color w:val="002060"/>
      <w:lang w:val="en-US"/>
    </w:rPr>
  </w:style>
  <w:style w:type="character" w:styleId="TextonotaalfinalCar" w:customStyle="1">
    <w:name w:val="Texto nota al final Car"/>
    <w:rPr>
      <w:rFonts w:ascii="Arial" w:hAnsi="Arial" w:eastAsia="Arial"/>
      <w:color w:val="002060"/>
      <w:lang w:val="en-US" w:eastAsia="en-US"/>
    </w:rPr>
  </w:style>
  <w:style w:type="character" w:styleId="Refdenotaalfinal">
    <w:name w:val="endnote reference"/>
    <w:rPr>
      <w:position w:val="0"/>
      <w:vertAlign w:val="superscript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pPr>
      <w:spacing w:after="200" w:line="240" w:lineRule="auto"/>
      <w:ind w:left="708"/>
    </w:pPr>
    <w:rPr>
      <w:color w:val="002060"/>
      <w:lang w:val="en-US"/>
    </w:rPr>
  </w:style>
  <w:style w:type="character" w:styleId="TextocomentarioCar" w:customStyle="1">
    <w:name w:val="Texto comentario Car"/>
    <w:rPr>
      <w:rFonts w:ascii="Arial" w:hAnsi="Arial" w:eastAsia="Arial"/>
      <w:color w:val="002060"/>
      <w:lang w:val="en-U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styleId="AsuntodelcomentarioCar" w:customStyle="1">
    <w:name w:val="Asunto del comentario Car"/>
    <w:rPr>
      <w:rFonts w:ascii="Arial" w:hAnsi="Arial" w:eastAsia="Arial"/>
      <w:b/>
      <w:bCs/>
      <w:color w:val="002060"/>
      <w:lang w:val="en-US" w:eastAsia="en-US"/>
    </w:rPr>
  </w:style>
  <w:style w:type="paragraph" w:styleId="Revisin">
    <w:name w:val="Revision"/>
    <w:pPr>
      <w:suppressAutoHyphens/>
    </w:pPr>
    <w:rPr>
      <w:color w:val="002060"/>
      <w:szCs w:val="22"/>
      <w:lang w:val="en-US" w:eastAsia="en-US"/>
    </w:rPr>
  </w:style>
  <w:style w:type="character" w:styleId="Hipervnculovisitado">
    <w:name w:val="FollowedHyperlink"/>
    <w:rPr>
      <w:color w:val="0F004E"/>
      <w:u w:val="single"/>
    </w:rPr>
  </w:style>
  <w:style w:type="paragraph" w:styleId="Tablecaptiontext" w:customStyle="1">
    <w:name w:val="Table caption text"/>
    <w:basedOn w:val="Normal"/>
    <w:pPr>
      <w:spacing w:line="260" w:lineRule="exact"/>
      <w:ind w:right="113"/>
    </w:pPr>
    <w:rPr>
      <w:rFonts w:ascii="Century Gothic" w:hAnsi="Century Gothic"/>
      <w:color w:val="auto"/>
      <w:sz w:val="16"/>
      <w:lang w:val="en-GB" w:eastAsia="fr-FR"/>
    </w:rPr>
  </w:style>
  <w:style w:type="paragraph" w:styleId="Tablecolumntitle" w:customStyle="1">
    <w:name w:val="Table column title"/>
    <w:basedOn w:val="Normal"/>
    <w:pPr>
      <w:spacing w:line="260" w:lineRule="exact"/>
      <w:ind w:left="113" w:right="113"/>
      <w:jc w:val="right"/>
    </w:pPr>
    <w:rPr>
      <w:rFonts w:ascii="Century Gothic" w:hAnsi="Century Gothic"/>
      <w:color w:val="auto"/>
      <w:sz w:val="16"/>
      <w:lang w:val="en-GB" w:eastAsia="fr-FR"/>
    </w:rPr>
  </w:style>
  <w:style w:type="character" w:styleId="BoilerPlateChar" w:customStyle="1">
    <w:name w:val="Boiler Plate Char"/>
    <w:rPr>
      <w:rFonts w:ascii="Century Gothic" w:hAnsi="Century Gothic" w:eastAsia="Calibri" w:cs="Calibri"/>
      <w:sz w:val="16"/>
      <w:szCs w:val="14"/>
      <w:lang w:val="en-US" w:eastAsia="en-US"/>
    </w:rPr>
  </w:style>
  <w:style w:type="paragraph" w:styleId="BoilerPlate" w:customStyle="1">
    <w:name w:val="Boiler Plate"/>
    <w:basedOn w:val="Normal"/>
    <w:pPr>
      <w:spacing w:line="254" w:lineRule="auto"/>
      <w:jc w:val="both"/>
    </w:pPr>
    <w:rPr>
      <w:rFonts w:ascii="Century Gothic" w:hAnsi="Century Gothic" w:eastAsia="Calibri" w:cs="Calibri"/>
      <w:color w:val="auto"/>
      <w:sz w:val="16"/>
      <w:szCs w:val="14"/>
      <w:lang w:val="en-US"/>
    </w:rPr>
  </w:style>
  <w:style w:type="paragraph" w:styleId="Pagefooter" w:customStyle="1">
    <w:name w:val="Page footer"/>
    <w:basedOn w:val="Normal"/>
    <w:pPr>
      <w:spacing w:line="200" w:lineRule="exact"/>
      <w:ind w:right="-199"/>
      <w:jc w:val="right"/>
    </w:pPr>
    <w:rPr>
      <w:color w:val="D52B1E"/>
      <w:sz w:val="12"/>
      <w:lang w:eastAsia="fr-FR"/>
    </w:rPr>
  </w:style>
  <w:style w:type="paragraph" w:styleId="Title3" w:customStyle="1">
    <w:name w:val="Title 3"/>
    <w:basedOn w:val="Normal"/>
    <w:pPr>
      <w:spacing w:line="254" w:lineRule="auto"/>
    </w:pPr>
    <w:rPr>
      <w:rFonts w:ascii="Century Gothic" w:hAnsi="Century Gothic"/>
      <w:b/>
      <w:color w:val="003591"/>
      <w:lang w:val="en-US"/>
    </w:rPr>
  </w:style>
  <w:style w:type="character" w:styleId="Title3Car" w:customStyle="1">
    <w:name w:val="Title 3 Car"/>
    <w:basedOn w:val="Fuentedeprrafopredeter"/>
    <w:rPr>
      <w:rFonts w:ascii="Century Gothic" w:hAnsi="Century Gothic" w:cs="Arial"/>
      <w:b/>
      <w:color w:val="003591"/>
      <w:lang w:val="en-US" w:eastAsia="en-US"/>
    </w:rPr>
  </w:style>
  <w:style w:type="paragraph" w:styleId="Lead-in" w:customStyle="1">
    <w:name w:val="Lead-in"/>
    <w:basedOn w:val="Text"/>
  </w:style>
  <w:style w:type="character" w:styleId="Lead-inCar" w:customStyle="1">
    <w:name w:val="Lead-in Car"/>
    <w:basedOn w:val="TextCar"/>
    <w:rPr>
      <w:rFonts w:ascii="Century Gothic" w:hAnsi="Century Gothic" w:cs="Arial"/>
      <w:lang w:val="en-US" w:eastAsia="en-US"/>
    </w:rPr>
  </w:style>
  <w:style w:type="paragraph" w:styleId="BoxBullet1" w:customStyle="1">
    <w:name w:val="Box Bullet 1"/>
    <w:pPr>
      <w:numPr>
        <w:numId w:val="2"/>
      </w:numPr>
      <w:suppressAutoHyphens/>
    </w:pPr>
    <w:rPr>
      <w:rFonts w:ascii="Century Gothic" w:hAnsi="Century Gothic"/>
      <w:b/>
      <w:color w:val="003591"/>
      <w:lang w:val="en-U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BoxBullet2" w:customStyle="1">
    <w:name w:val="Box Bullet 2"/>
    <w:pPr>
      <w:tabs>
        <w:tab w:val="num" w:pos="720"/>
      </w:tabs>
      <w:suppressAutoHyphens/>
      <w:ind w:left="720" w:hanging="720"/>
    </w:pPr>
    <w:rPr>
      <w:rFonts w:ascii="Century Gothic" w:hAnsi="Century Gothic"/>
      <w:lang w:eastAsia="en-US"/>
    </w:rPr>
  </w:style>
  <w:style w:type="character" w:styleId="PrrafodelistaCar" w:customStyle="1">
    <w:name w:val="Párrafo de lista Car"/>
    <w:rPr>
      <w:rFonts w:ascii="Arial" w:hAnsi="Arial"/>
      <w:color w:val="11204C"/>
      <w:lang w:eastAsia="en-US"/>
    </w:rPr>
  </w:style>
  <w:style w:type="paragraph" w:styleId="NormalWeb">
    <w:name w:val="Normal (Web)"/>
    <w:basedOn w:val="Normal"/>
    <w:uiPriority w:val="99"/>
    <w:pPr>
      <w:spacing w:line="240" w:lineRule="auto"/>
    </w:pPr>
    <w:rPr>
      <w:rFonts w:ascii="Calibri" w:hAnsi="Calibri" w:eastAsia="Century Gothic" w:cs="Calibri"/>
      <w:color w:val="auto"/>
      <w:sz w:val="22"/>
      <w:szCs w:val="22"/>
      <w:lang w:val="en-US" w:eastAsia="fr-FR"/>
    </w:rPr>
  </w:style>
  <w:style w:type="paragraph" w:styleId="paragraph" w:customStyle="1">
    <w:name w:val="paragraph"/>
    <w:basedOn w:val="Normal"/>
    <w:pPr>
      <w:spacing w:before="100" w:after="100" w:line="240" w:lineRule="auto"/>
    </w:pPr>
    <w:rPr>
      <w:rFonts w:ascii="Times New Roman" w:hAnsi="Times New Roman"/>
      <w:color w:val="auto"/>
      <w:sz w:val="24"/>
      <w:szCs w:val="24"/>
      <w:lang w:eastAsia="fr-FR"/>
    </w:rPr>
  </w:style>
  <w:style w:type="character" w:styleId="normaltextrun" w:customStyle="1">
    <w:name w:val="normaltextrun"/>
    <w:basedOn w:val="Fuentedeprrafopredeter"/>
  </w:style>
  <w:style w:type="character" w:styleId="eop" w:customStyle="1">
    <w:name w:val="eop"/>
    <w:basedOn w:val="Fuentedeprrafopredeter"/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numbering" w:styleId="LFO10" w:customStyle="1">
    <w:name w:val="LFO10"/>
    <w:basedOn w:val="Sinlista"/>
  </w:style>
  <w:style w:type="numbering" w:styleId="LFO19" w:customStyle="1">
    <w:name w:val="LFO19"/>
    <w:basedOn w:val="Sinlista"/>
  </w:style>
  <w:style w:type="numbering" w:styleId="LFO20" w:customStyle="1">
    <w:name w:val="LFO20"/>
    <w:basedOn w:val="Sinlist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anormal"/>
    <w:tblPr>
      <w:tblStyleRowBandSize w:val="1"/>
      <w:tblStyleColBandSize w:val="1"/>
      <w:tblInd w:w="0" w:type="nil"/>
      <w:tblCellMar>
        <w:left w:w="10" w:type="dxa"/>
        <w:right w:w="10" w:type="dxa"/>
      </w:tblCellMar>
    </w:tblPr>
  </w:style>
  <w:style w:type="table" w:styleId="TableNormal1" w:customStyle="1">
    <w:name w:val="Table Normal1"/>
    <w:rsid w:val="007A462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352B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mailto:equipo.edenred@newlink-group.com" TargetMode="External" Id="rId11" /><Relationship Type="http://schemas.openxmlformats.org/officeDocument/2006/relationships/settings" Target="settings.xml" Id="rId5" /><Relationship Type="http://schemas.openxmlformats.org/officeDocument/2006/relationships/hyperlink" Target="mailto:alejandro.delgadosanchez@edenred.com" TargetMode="Externa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4bHXuFG8ZK1f8jUvsxeC2OwKQ==">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E9E377-345F-4939-92A3-1C3ED797E67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COURTOIS Cécile</dc:creator>
  <keywords/>
  <lastModifiedBy>Sara García Molina</lastModifiedBy>
  <revision>315</revision>
  <dcterms:created xsi:type="dcterms:W3CDTF">2025-06-05T04:13:00.0000000Z</dcterms:created>
  <dcterms:modified xsi:type="dcterms:W3CDTF">2026-03-02T17:06:09.4815734Z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0x010100C507B8DFC332A440B799D44257F07BA7</vt:lpwstr>
  </property>
  <property fmtid="{D5CDD505-2E9C-101B-9397-08002B2CF9AE}" pid="3" name="GrammarlyDocumentId">
    <vt:lpwstr>797d063b200a87c27582bd0be5c9c9e5374e71033a601ec6e631990873192edf</vt:lpwstr>
  </property>
</Properties>
</file>