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63F1" w14:textId="36B3B8A3" w:rsidR="0034131E" w:rsidRPr="00833D4F" w:rsidRDefault="006E722E">
      <w:pPr>
        <w:pBdr>
          <w:top w:val="nil"/>
          <w:left w:val="nil"/>
          <w:bottom w:val="nil"/>
          <w:right w:val="nil"/>
          <w:between w:val="nil"/>
        </w:pBdr>
        <w:tabs>
          <w:tab w:val="left" w:pos="996"/>
          <w:tab w:val="right" w:pos="8504"/>
        </w:tabs>
        <w:spacing w:line="254" w:lineRule="auto"/>
        <w:jc w:val="right"/>
        <w:rPr>
          <w:rFonts w:ascii="Century Gothic" w:eastAsia="Century Gothic" w:hAnsi="Century Gothic" w:cs="Century Gothic"/>
          <w:color w:val="000000"/>
          <w:sz w:val="28"/>
          <w:szCs w:val="28"/>
          <w:lang w:val="es-ES"/>
        </w:rPr>
      </w:pPr>
      <w:r>
        <w:rPr>
          <w:noProof/>
        </w:rPr>
        <w:drawing>
          <wp:anchor distT="0" distB="0" distL="0" distR="0" simplePos="0" relativeHeight="251658240" behindDoc="1" locked="0" layoutInCell="1" hidden="0" allowOverlap="1" wp14:anchorId="0CF9CF7E" wp14:editId="4092B481">
            <wp:simplePos x="0" y="0"/>
            <wp:positionH relativeFrom="margin">
              <wp:align>left</wp:align>
            </wp:positionH>
            <wp:positionV relativeFrom="paragraph">
              <wp:posOffset>-213995</wp:posOffset>
            </wp:positionV>
            <wp:extent cx="1047750" cy="638175"/>
            <wp:effectExtent l="0" t="0" r="0" b="9525"/>
            <wp:wrapNone/>
            <wp:docPr id="8279376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47750" cy="638175"/>
                    </a:xfrm>
                    <a:prstGeom prst="rect">
                      <a:avLst/>
                    </a:prstGeom>
                    <a:ln/>
                  </pic:spPr>
                </pic:pic>
              </a:graphicData>
            </a:graphic>
            <wp14:sizeRelH relativeFrom="margin">
              <wp14:pctWidth>0</wp14:pctWidth>
            </wp14:sizeRelH>
            <wp14:sizeRelV relativeFrom="margin">
              <wp14:pctHeight>0</wp14:pctHeight>
            </wp14:sizeRelV>
          </wp:anchor>
        </w:drawing>
      </w:r>
      <w:r w:rsidR="00E660F9" w:rsidRPr="00833D4F">
        <w:rPr>
          <w:rFonts w:ascii="Century Gothic" w:eastAsia="Century Gothic" w:hAnsi="Century Gothic" w:cs="Century Gothic"/>
          <w:b/>
          <w:color w:val="000000"/>
          <w:sz w:val="28"/>
          <w:szCs w:val="28"/>
          <w:lang w:val="es-ES"/>
        </w:rPr>
        <w:t>Nota de prensa</w:t>
      </w:r>
    </w:p>
    <w:p w14:paraId="2721C22F" w14:textId="67AE0D29" w:rsidR="0034131E" w:rsidRPr="00833D4F" w:rsidRDefault="009F4D2D" w:rsidP="26013A92">
      <w:pPr>
        <w:pBdr>
          <w:top w:val="nil"/>
          <w:left w:val="nil"/>
          <w:bottom w:val="nil"/>
          <w:right w:val="nil"/>
          <w:between w:val="nil"/>
        </w:pBdr>
        <w:spacing w:line="254" w:lineRule="auto"/>
        <w:jc w:val="right"/>
        <w:rPr>
          <w:rFonts w:ascii="Century Gothic" w:eastAsia="Century Gothic" w:hAnsi="Century Gothic" w:cs="Century Gothic"/>
          <w:color w:val="000000"/>
          <w:sz w:val="28"/>
          <w:szCs w:val="28"/>
          <w:lang w:val="es-ES"/>
        </w:rPr>
      </w:pPr>
      <w:r>
        <w:rPr>
          <w:rFonts w:ascii="Century Gothic" w:eastAsia="Century Gothic" w:hAnsi="Century Gothic" w:cs="Century Gothic"/>
          <w:color w:val="000000" w:themeColor="text1"/>
          <w:sz w:val="22"/>
          <w:szCs w:val="22"/>
          <w:lang w:val="es-ES"/>
        </w:rPr>
        <w:t>A</w:t>
      </w:r>
      <w:r w:rsidR="00CF6A68">
        <w:rPr>
          <w:rFonts w:ascii="Century Gothic" w:eastAsia="Century Gothic" w:hAnsi="Century Gothic" w:cs="Century Gothic"/>
          <w:color w:val="000000" w:themeColor="text1"/>
          <w:sz w:val="22"/>
          <w:szCs w:val="22"/>
          <w:lang w:val="es-ES"/>
        </w:rPr>
        <w:t>gosto</w:t>
      </w:r>
      <w:r w:rsidR="5CA98C24" w:rsidRPr="26013A92">
        <w:rPr>
          <w:rFonts w:ascii="Century Gothic" w:eastAsia="Century Gothic" w:hAnsi="Century Gothic" w:cs="Century Gothic"/>
          <w:color w:val="000000" w:themeColor="text1"/>
          <w:sz w:val="22"/>
          <w:szCs w:val="22"/>
          <w:lang w:val="es-ES"/>
        </w:rPr>
        <w:t xml:space="preserve"> </w:t>
      </w:r>
      <w:r w:rsidR="00E660F9" w:rsidRPr="26013A92">
        <w:rPr>
          <w:rFonts w:ascii="Century Gothic" w:eastAsia="Century Gothic" w:hAnsi="Century Gothic" w:cs="Century Gothic"/>
          <w:color w:val="000000" w:themeColor="text1"/>
          <w:sz w:val="22"/>
          <w:szCs w:val="22"/>
          <w:lang w:val="es-ES"/>
        </w:rPr>
        <w:t>de 202</w:t>
      </w:r>
      <w:r w:rsidR="00316012" w:rsidRPr="26013A92">
        <w:rPr>
          <w:rFonts w:ascii="Century Gothic" w:eastAsia="Century Gothic" w:hAnsi="Century Gothic" w:cs="Century Gothic"/>
          <w:color w:val="000000" w:themeColor="text1"/>
          <w:sz w:val="22"/>
          <w:szCs w:val="22"/>
          <w:lang w:val="es-ES"/>
        </w:rPr>
        <w:t>6</w:t>
      </w:r>
    </w:p>
    <w:p w14:paraId="5523504D" w14:textId="523A13E6" w:rsidR="0034131E" w:rsidRPr="00833D4F" w:rsidRDefault="0034131E">
      <w:pPr>
        <w:pBdr>
          <w:top w:val="nil"/>
          <w:left w:val="nil"/>
          <w:bottom w:val="nil"/>
          <w:right w:val="nil"/>
          <w:between w:val="nil"/>
        </w:pBdr>
        <w:spacing w:line="254" w:lineRule="auto"/>
        <w:ind w:left="709" w:hanging="709"/>
        <w:jc w:val="center"/>
        <w:rPr>
          <w:rFonts w:ascii="Century Gothic" w:eastAsia="Century Gothic" w:hAnsi="Century Gothic" w:cs="Century Gothic"/>
          <w:color w:val="162056"/>
          <w:sz w:val="48"/>
          <w:szCs w:val="48"/>
          <w:lang w:val="es-ES"/>
        </w:rPr>
      </w:pPr>
    </w:p>
    <w:p w14:paraId="0BB47D63" w14:textId="1A3754B9" w:rsidR="00D7376D" w:rsidRDefault="000869AD" w:rsidP="05C1795E">
      <w:pPr>
        <w:pStyle w:val="BulletLead-in2"/>
        <w:numPr>
          <w:ilvl w:val="0"/>
          <w:numId w:val="0"/>
        </w:numPr>
        <w:jc w:val="center"/>
        <w:rPr>
          <w:rFonts w:cs="Century Gothic"/>
          <w:color w:val="000000" w:themeColor="text1"/>
          <w:sz w:val="44"/>
          <w:szCs w:val="44"/>
          <w:lang w:val="es-ES"/>
        </w:rPr>
      </w:pPr>
      <w:r w:rsidRPr="05C1795E">
        <w:rPr>
          <w:rFonts w:cs="Century Gothic"/>
          <w:color w:val="000000" w:themeColor="text1"/>
          <w:sz w:val="44"/>
          <w:szCs w:val="44"/>
          <w:lang w:val="es-ES"/>
        </w:rPr>
        <w:t>Casi la mitad de</w:t>
      </w:r>
      <w:r w:rsidR="50267628" w:rsidRPr="05C1795E">
        <w:rPr>
          <w:rFonts w:cs="Century Gothic"/>
          <w:color w:val="000000" w:themeColor="text1"/>
          <w:sz w:val="44"/>
          <w:szCs w:val="44"/>
          <w:lang w:val="es-ES"/>
        </w:rPr>
        <w:t xml:space="preserve"> los</w:t>
      </w:r>
      <w:r w:rsidRPr="05C1795E">
        <w:rPr>
          <w:rFonts w:cs="Century Gothic"/>
          <w:color w:val="000000" w:themeColor="text1"/>
          <w:sz w:val="44"/>
          <w:szCs w:val="44"/>
          <w:lang w:val="es-ES"/>
        </w:rPr>
        <w:t xml:space="preserve"> españoles llega al verano </w:t>
      </w:r>
      <w:r w:rsidR="5BDF1741" w:rsidRPr="05C1795E">
        <w:rPr>
          <w:rFonts w:cs="Century Gothic"/>
          <w:color w:val="000000" w:themeColor="text1"/>
          <w:sz w:val="44"/>
          <w:szCs w:val="44"/>
          <w:lang w:val="es-ES"/>
        </w:rPr>
        <w:t>sin</w:t>
      </w:r>
      <w:r w:rsidRPr="05C1795E">
        <w:rPr>
          <w:rFonts w:cs="Century Gothic"/>
          <w:color w:val="000000" w:themeColor="text1"/>
          <w:sz w:val="44"/>
          <w:szCs w:val="44"/>
          <w:lang w:val="es-ES"/>
        </w:rPr>
        <w:t xml:space="preserve"> flexibilidad laboral</w:t>
      </w:r>
    </w:p>
    <w:p w14:paraId="784D64CA" w14:textId="77777777" w:rsidR="000869AD" w:rsidRPr="000869AD" w:rsidRDefault="000869AD" w:rsidP="001370DF">
      <w:pPr>
        <w:pStyle w:val="BulletLead-in2"/>
        <w:numPr>
          <w:ilvl w:val="0"/>
          <w:numId w:val="0"/>
        </w:numPr>
        <w:jc w:val="center"/>
        <w:rPr>
          <w:rFonts w:cs="Century Gothic"/>
          <w:color w:val="000000" w:themeColor="text1"/>
          <w:sz w:val="44"/>
          <w:szCs w:val="44"/>
          <w:lang w:val="es-ES"/>
        </w:rPr>
      </w:pPr>
    </w:p>
    <w:p w14:paraId="583954CA" w14:textId="77777777" w:rsidR="00D07E60" w:rsidRPr="009F4D2D" w:rsidRDefault="00D07E60" w:rsidP="00D07E60">
      <w:pPr>
        <w:pStyle w:val="BulletLead-in2"/>
        <w:numPr>
          <w:ilvl w:val="0"/>
          <w:numId w:val="16"/>
        </w:numPr>
        <w:jc w:val="both"/>
        <w:rPr>
          <w:rFonts w:eastAsia="Century Gothic" w:cs="Century Gothic"/>
          <w:b/>
          <w:bCs/>
          <w:lang w:val="es-ES"/>
        </w:rPr>
      </w:pPr>
      <w:r w:rsidRPr="009F4D2D">
        <w:rPr>
          <w:rFonts w:eastAsia="Century Gothic" w:cs="Century Gothic"/>
          <w:b/>
          <w:bCs/>
          <w:lang w:val="es-ES"/>
        </w:rPr>
        <w:t>El 47,6 % de los profesionales dispone de una flexibilidad baja o inexistente, pese a que más de ocho de cada diez reconocen que estas medidas mejoran su productividad y bienestar.</w:t>
      </w:r>
    </w:p>
    <w:p w14:paraId="5ACC3377" w14:textId="77777777" w:rsidR="00D07E60" w:rsidRPr="009F4D2D" w:rsidRDefault="00D07E60" w:rsidP="00D07E60">
      <w:pPr>
        <w:pStyle w:val="BulletLead-in2"/>
        <w:numPr>
          <w:ilvl w:val="0"/>
          <w:numId w:val="0"/>
        </w:numPr>
        <w:ind w:left="720"/>
        <w:jc w:val="both"/>
        <w:rPr>
          <w:rFonts w:eastAsia="Century Gothic" w:cs="Century Gothic"/>
          <w:b/>
          <w:bCs/>
          <w:lang w:val="es-ES"/>
        </w:rPr>
      </w:pPr>
    </w:p>
    <w:p w14:paraId="069A3ECA" w14:textId="77777777" w:rsidR="00D07E60" w:rsidRDefault="00D07E60" w:rsidP="00D07E60">
      <w:pPr>
        <w:pStyle w:val="BulletLead-in2"/>
        <w:numPr>
          <w:ilvl w:val="0"/>
          <w:numId w:val="16"/>
        </w:numPr>
        <w:jc w:val="both"/>
        <w:rPr>
          <w:rFonts w:eastAsia="Century Gothic" w:cs="Century Gothic"/>
          <w:b/>
          <w:bCs/>
          <w:lang w:val="es-ES"/>
        </w:rPr>
      </w:pPr>
      <w:r w:rsidRPr="00C87017">
        <w:rPr>
          <w:rFonts w:eastAsia="Century Gothic" w:cs="Century Gothic"/>
          <w:b/>
          <w:bCs/>
          <w:lang w:val="es-ES"/>
        </w:rPr>
        <w:t xml:space="preserve">Las mujeres salen peor paradas: el 26,3 % no tiene ninguna flexibilidad, frente al 19,5 % de los hombres. </w:t>
      </w:r>
    </w:p>
    <w:p w14:paraId="6D646A38" w14:textId="77777777" w:rsidR="00D07E60" w:rsidRPr="003743D2" w:rsidRDefault="00D07E60" w:rsidP="00D07E60">
      <w:pPr>
        <w:pStyle w:val="BulletLead-in2"/>
        <w:numPr>
          <w:ilvl w:val="0"/>
          <w:numId w:val="0"/>
        </w:numPr>
        <w:jc w:val="both"/>
        <w:rPr>
          <w:rFonts w:eastAsia="Century Gothic" w:cs="Century Gothic"/>
          <w:b/>
          <w:bCs/>
          <w:lang w:val="es-ES"/>
        </w:rPr>
      </w:pPr>
    </w:p>
    <w:p w14:paraId="65354CB0" w14:textId="3F15C3F8" w:rsidR="00987482" w:rsidRPr="00987482" w:rsidRDefault="00987482" w:rsidP="00C87017">
      <w:pPr>
        <w:pStyle w:val="BulletLead-in2"/>
        <w:numPr>
          <w:ilvl w:val="0"/>
          <w:numId w:val="0"/>
        </w:numPr>
        <w:ind w:left="720"/>
        <w:jc w:val="both"/>
        <w:rPr>
          <w:rFonts w:eastAsia="Century Gothic" w:cs="Century Gothic"/>
          <w:b/>
          <w:bCs/>
          <w:lang w:val="es-ES"/>
        </w:rPr>
      </w:pPr>
    </w:p>
    <w:p w14:paraId="0EF75F29" w14:textId="59E87FB5" w:rsidR="008F4119" w:rsidRPr="009F4D2D" w:rsidRDefault="007C737A" w:rsidP="008F4119">
      <w:pPr>
        <w:jc w:val="both"/>
        <w:rPr>
          <w:rFonts w:ascii="Century Gothic" w:hAnsi="Century Gothic" w:cs="Century Gothic"/>
          <w:b/>
          <w:bCs/>
          <w:color w:val="auto"/>
          <w:lang w:val="es-ES"/>
        </w:rPr>
      </w:pPr>
      <w:r w:rsidRPr="009F4D2D">
        <w:rPr>
          <w:rFonts w:ascii="Century Gothic" w:hAnsi="Century Gothic" w:cs="Century Gothic"/>
          <w:color w:val="auto"/>
          <w:lang w:val="es-ES"/>
        </w:rPr>
        <w:t xml:space="preserve">Vacaciones escolares, jornadas intensivas, cambios de horario, desplazamientos y dificultades para coordinar el descanso de los equipos. El verano vuelve a poner a prueba la capacidad de las empresas para ofrecer modelos de trabajo adaptados a las necesidades de su talento. Sin embargo, </w:t>
      </w:r>
      <w:r w:rsidRPr="009F4D2D">
        <w:rPr>
          <w:rFonts w:ascii="Century Gothic" w:hAnsi="Century Gothic" w:cs="Century Gothic"/>
          <w:b/>
          <w:bCs/>
          <w:color w:val="auto"/>
          <w:lang w:val="es-ES"/>
        </w:rPr>
        <w:t xml:space="preserve">casi la mitad de los profesionales en España afronta </w:t>
      </w:r>
      <w:r w:rsidR="584F3508" w:rsidRPr="009F4D2D">
        <w:rPr>
          <w:rFonts w:ascii="Century Gothic" w:hAnsi="Century Gothic" w:cs="Century Gothic"/>
          <w:b/>
          <w:bCs/>
          <w:color w:val="auto"/>
          <w:lang w:val="es-ES"/>
        </w:rPr>
        <w:t xml:space="preserve">el periodo estival </w:t>
      </w:r>
      <w:r w:rsidRPr="009F4D2D">
        <w:rPr>
          <w:rFonts w:ascii="Century Gothic" w:hAnsi="Century Gothic" w:cs="Century Gothic"/>
          <w:b/>
          <w:bCs/>
          <w:color w:val="auto"/>
          <w:lang w:val="es-ES"/>
        </w:rPr>
        <w:t>con poca o ninguna flexibilidad laboral.</w:t>
      </w:r>
    </w:p>
    <w:p w14:paraId="753927DB" w14:textId="6A1EFC7A" w:rsidR="05C1795E" w:rsidRDefault="05C1795E" w:rsidP="05C1795E">
      <w:pPr>
        <w:jc w:val="both"/>
        <w:rPr>
          <w:rFonts w:ascii="Century Gothic" w:hAnsi="Century Gothic" w:cs="Century Gothic"/>
          <w:color w:val="auto"/>
          <w:lang w:val="es-ES"/>
        </w:rPr>
      </w:pPr>
    </w:p>
    <w:p w14:paraId="6962C87D" w14:textId="4B6DDB42" w:rsidR="007C737A" w:rsidRDefault="007C737A" w:rsidP="05C1795E">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Así lo revela el </w:t>
      </w:r>
      <w:r w:rsidRPr="05C1795E">
        <w:rPr>
          <w:rFonts w:ascii="Century Gothic" w:hAnsi="Century Gothic" w:cs="Century Gothic"/>
          <w:b/>
          <w:bCs/>
          <w:color w:val="auto"/>
          <w:lang w:val="es-ES"/>
        </w:rPr>
        <w:t>Estudio sobre Bienestar y Salud Laboral en España 2026,</w:t>
      </w:r>
      <w:r w:rsidRPr="05C1795E">
        <w:rPr>
          <w:rFonts w:ascii="Century Gothic" w:hAnsi="Century Gothic" w:cs="Century Gothic"/>
          <w:color w:val="auto"/>
          <w:lang w:val="es-ES"/>
        </w:rPr>
        <w:t xml:space="preserve"> elaborado por </w:t>
      </w:r>
      <w:r w:rsidRPr="05C1795E">
        <w:rPr>
          <w:rFonts w:ascii="Century Gothic" w:hAnsi="Century Gothic" w:cs="Century Gothic"/>
          <w:b/>
          <w:bCs/>
          <w:color w:val="auto"/>
          <w:lang w:val="es-ES"/>
        </w:rPr>
        <w:t>Edenred</w:t>
      </w:r>
      <w:r w:rsidRPr="05C1795E">
        <w:rPr>
          <w:rFonts w:ascii="Century Gothic" w:hAnsi="Century Gothic" w:cs="Century Gothic"/>
          <w:color w:val="auto"/>
          <w:lang w:val="es-ES"/>
        </w:rPr>
        <w:t xml:space="preserve">, </w:t>
      </w:r>
      <w:r w:rsidRPr="05C1795E">
        <w:rPr>
          <w:rFonts w:ascii="Century Gothic" w:hAnsi="Century Gothic" w:cs="Century Gothic"/>
          <w:b/>
          <w:bCs/>
          <w:color w:val="auto"/>
          <w:lang w:val="es-ES"/>
        </w:rPr>
        <w:t xml:space="preserve">plataforma digital </w:t>
      </w:r>
      <w:proofErr w:type="spellStart"/>
      <w:r w:rsidRPr="05C1795E">
        <w:rPr>
          <w:rFonts w:ascii="Century Gothic" w:hAnsi="Century Gothic" w:cs="Century Gothic"/>
          <w:b/>
          <w:bCs/>
          <w:color w:val="auto"/>
          <w:lang w:val="es-ES"/>
        </w:rPr>
        <w:t>multisolución</w:t>
      </w:r>
      <w:proofErr w:type="spellEnd"/>
      <w:r w:rsidRPr="05C1795E">
        <w:rPr>
          <w:rFonts w:ascii="Century Gothic" w:hAnsi="Century Gothic" w:cs="Century Gothic"/>
          <w:b/>
          <w:bCs/>
          <w:color w:val="auto"/>
          <w:lang w:val="es-ES"/>
        </w:rPr>
        <w:t xml:space="preserve"> especializada en beneficios sociales y </w:t>
      </w:r>
      <w:proofErr w:type="spellStart"/>
      <w:r w:rsidRPr="05C1795E">
        <w:rPr>
          <w:rFonts w:ascii="Century Gothic" w:hAnsi="Century Gothic" w:cs="Century Gothic"/>
          <w:b/>
          <w:bCs/>
          <w:color w:val="auto"/>
          <w:lang w:val="es-ES"/>
        </w:rPr>
        <w:t>employee</w:t>
      </w:r>
      <w:proofErr w:type="spellEnd"/>
      <w:r w:rsidRPr="05C1795E">
        <w:rPr>
          <w:rFonts w:ascii="Century Gothic" w:hAnsi="Century Gothic" w:cs="Century Gothic"/>
          <w:b/>
          <w:bCs/>
          <w:color w:val="auto"/>
          <w:lang w:val="es-ES"/>
        </w:rPr>
        <w:t xml:space="preserve"> </w:t>
      </w:r>
      <w:proofErr w:type="spellStart"/>
      <w:r w:rsidRPr="05C1795E">
        <w:rPr>
          <w:rFonts w:ascii="Century Gothic" w:hAnsi="Century Gothic" w:cs="Century Gothic"/>
          <w:b/>
          <w:bCs/>
          <w:color w:val="auto"/>
          <w:lang w:val="es-ES"/>
        </w:rPr>
        <w:t>engagement</w:t>
      </w:r>
      <w:proofErr w:type="spellEnd"/>
      <w:r w:rsidRPr="05C1795E">
        <w:rPr>
          <w:rFonts w:ascii="Century Gothic" w:hAnsi="Century Gothic" w:cs="Century Gothic"/>
          <w:color w:val="auto"/>
          <w:lang w:val="es-ES"/>
        </w:rPr>
        <w:t xml:space="preserve">. Según sus resultados, el </w:t>
      </w:r>
      <w:r w:rsidRPr="05C1795E">
        <w:rPr>
          <w:rFonts w:ascii="Century Gothic" w:hAnsi="Century Gothic" w:cs="Century Gothic"/>
          <w:b/>
          <w:bCs/>
          <w:color w:val="auto"/>
          <w:lang w:val="es-ES"/>
        </w:rPr>
        <w:t>47,6 % de los profesionales trabaja con una flexibilidad baja o inexistente</w:t>
      </w:r>
      <w:r w:rsidRPr="05C1795E">
        <w:rPr>
          <w:rFonts w:ascii="Century Gothic" w:hAnsi="Century Gothic" w:cs="Century Gothic"/>
          <w:color w:val="auto"/>
          <w:lang w:val="es-ES"/>
        </w:rPr>
        <w:t xml:space="preserve">: un 24,9 % dispone únicamente de opciones limitadas y otro 22,7 % no cuenta con </w:t>
      </w:r>
      <w:r w:rsidR="7979FBE2" w:rsidRPr="05C1795E">
        <w:rPr>
          <w:rFonts w:ascii="Century Gothic" w:hAnsi="Century Gothic" w:cs="Century Gothic"/>
          <w:color w:val="auto"/>
          <w:lang w:val="es-ES"/>
        </w:rPr>
        <w:t>ningún tipo de</w:t>
      </w:r>
      <w:r w:rsidRPr="05C1795E">
        <w:rPr>
          <w:rFonts w:ascii="Century Gothic" w:hAnsi="Century Gothic" w:cs="Century Gothic"/>
          <w:color w:val="auto"/>
          <w:lang w:val="es-ES"/>
        </w:rPr>
        <w:t xml:space="preserve"> medida.</w:t>
      </w:r>
    </w:p>
    <w:p w14:paraId="2E6DAB39" w14:textId="77777777" w:rsidR="007C737A" w:rsidRDefault="007C737A" w:rsidP="007C737A">
      <w:pPr>
        <w:jc w:val="both"/>
        <w:rPr>
          <w:rFonts w:ascii="Century Gothic" w:hAnsi="Century Gothic" w:cs="Century Gothic"/>
          <w:color w:val="auto"/>
          <w:lang w:val="es-ES"/>
        </w:rPr>
      </w:pPr>
    </w:p>
    <w:p w14:paraId="1C6D4250" w14:textId="1EB5F1EF" w:rsidR="007C737A" w:rsidRPr="007C737A" w:rsidRDefault="007C737A" w:rsidP="05C1795E">
      <w:pPr>
        <w:jc w:val="both"/>
        <w:rPr>
          <w:rFonts w:ascii="Century Gothic" w:hAnsi="Century Gothic" w:cs="Century Gothic"/>
          <w:color w:val="auto"/>
          <w:lang w:val="es-ES"/>
        </w:rPr>
      </w:pPr>
      <w:r w:rsidRPr="009F4D2D">
        <w:rPr>
          <w:rFonts w:ascii="Century Gothic" w:hAnsi="Century Gothic" w:cs="Century Gothic"/>
          <w:color w:val="auto"/>
          <w:lang w:val="es-ES"/>
        </w:rPr>
        <w:t xml:space="preserve">El dato cobra especial relevancia durante </w:t>
      </w:r>
      <w:r w:rsidR="1B10A54C" w:rsidRPr="009F4D2D">
        <w:rPr>
          <w:rFonts w:ascii="Century Gothic" w:hAnsi="Century Gothic" w:cs="Century Gothic"/>
          <w:color w:val="auto"/>
          <w:lang w:val="es-ES"/>
        </w:rPr>
        <w:t>esta época</w:t>
      </w:r>
      <w:r w:rsidRPr="009F4D2D">
        <w:rPr>
          <w:rFonts w:ascii="Century Gothic" w:hAnsi="Century Gothic" w:cs="Century Gothic"/>
          <w:color w:val="auto"/>
          <w:lang w:val="es-ES"/>
        </w:rPr>
        <w:t>, cuando las necesidades de conciliación se intensifican. No obstante, también refleja una realidad que se mantiene durante todo el año: una parte importante del talento sigue teniendo poco margen para adaptar sus horarios, reorganizar su jornada o gestionar de manera autónoma sus tiempos.</w:t>
      </w:r>
    </w:p>
    <w:p w14:paraId="000115F2" w14:textId="77777777" w:rsidR="008F4119" w:rsidRPr="008F4119" w:rsidRDefault="008F4119" w:rsidP="008F4119">
      <w:pPr>
        <w:jc w:val="both"/>
        <w:rPr>
          <w:rFonts w:ascii="Century Gothic" w:hAnsi="Century Gothic" w:cs="Century Gothic"/>
          <w:i/>
          <w:iCs/>
          <w:color w:val="auto"/>
          <w:lang w:val="es-ES"/>
        </w:rPr>
      </w:pPr>
    </w:p>
    <w:p w14:paraId="7364B996" w14:textId="4F34E5B9" w:rsidR="002C3298" w:rsidRPr="002C3298" w:rsidRDefault="002C3298" w:rsidP="05C1795E">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Esta rigidez contrasta con lo que demanda el propio talento: </w:t>
      </w:r>
      <w:r w:rsidR="21964A83" w:rsidRPr="05C1795E">
        <w:rPr>
          <w:rFonts w:ascii="Century Gothic" w:hAnsi="Century Gothic" w:cs="Century Gothic"/>
          <w:b/>
          <w:bCs/>
          <w:color w:val="auto"/>
          <w:lang w:val="es-ES"/>
        </w:rPr>
        <w:t xml:space="preserve">más de ocho de cada diez profesionales vinculan </w:t>
      </w:r>
      <w:r w:rsidR="2DA38617" w:rsidRPr="05C1795E">
        <w:rPr>
          <w:rFonts w:ascii="Century Gothic" w:hAnsi="Century Gothic" w:cs="Century Gothic"/>
          <w:b/>
          <w:bCs/>
          <w:color w:val="auto"/>
          <w:lang w:val="es-ES"/>
        </w:rPr>
        <w:t xml:space="preserve">las medidas de flexibilidad </w:t>
      </w:r>
      <w:r w:rsidR="21964A83" w:rsidRPr="05C1795E">
        <w:rPr>
          <w:rFonts w:ascii="Century Gothic" w:hAnsi="Century Gothic" w:cs="Century Gothic"/>
          <w:b/>
          <w:bCs/>
          <w:color w:val="auto"/>
          <w:lang w:val="es-ES"/>
        </w:rPr>
        <w:t xml:space="preserve">con una mejora de su productividad y bienestar. </w:t>
      </w:r>
      <w:r w:rsidR="21964A83" w:rsidRPr="05C1795E">
        <w:rPr>
          <w:rFonts w:ascii="Century Gothic" w:hAnsi="Century Gothic" w:cs="Century Gothic"/>
          <w:color w:val="auto"/>
          <w:lang w:val="es-ES"/>
        </w:rPr>
        <w:t xml:space="preserve">Del total de </w:t>
      </w:r>
      <w:r w:rsidR="53B6BCCB" w:rsidRPr="05C1795E">
        <w:rPr>
          <w:rFonts w:ascii="Century Gothic" w:hAnsi="Century Gothic" w:cs="Century Gothic"/>
          <w:color w:val="auto"/>
          <w:lang w:val="es-ES"/>
        </w:rPr>
        <w:t xml:space="preserve">las personas </w:t>
      </w:r>
      <w:r w:rsidR="21964A83" w:rsidRPr="05C1795E">
        <w:rPr>
          <w:rFonts w:ascii="Century Gothic" w:hAnsi="Century Gothic" w:cs="Century Gothic"/>
          <w:color w:val="auto"/>
          <w:lang w:val="es-ES"/>
        </w:rPr>
        <w:t xml:space="preserve">encuestados </w:t>
      </w:r>
      <w:r w:rsidR="524237A3" w:rsidRPr="05C1795E">
        <w:rPr>
          <w:rFonts w:ascii="Century Gothic" w:hAnsi="Century Gothic" w:cs="Century Gothic"/>
          <w:color w:val="auto"/>
          <w:lang w:val="es-ES"/>
        </w:rPr>
        <w:t xml:space="preserve">en </w:t>
      </w:r>
      <w:r w:rsidR="21964A83" w:rsidRPr="05C1795E">
        <w:rPr>
          <w:rFonts w:ascii="Century Gothic" w:hAnsi="Century Gothic" w:cs="Century Gothic"/>
          <w:color w:val="auto"/>
          <w:lang w:val="es-ES"/>
        </w:rPr>
        <w:t xml:space="preserve">el estudio, más de la mitad </w:t>
      </w:r>
      <w:r w:rsidR="1AB6390D" w:rsidRPr="05C1795E">
        <w:rPr>
          <w:rFonts w:ascii="Century Gothic" w:hAnsi="Century Gothic" w:cs="Century Gothic"/>
          <w:color w:val="auto"/>
          <w:lang w:val="es-ES"/>
        </w:rPr>
        <w:t xml:space="preserve">(51,4 %) </w:t>
      </w:r>
      <w:r w:rsidR="21964A83" w:rsidRPr="05C1795E">
        <w:rPr>
          <w:rFonts w:ascii="Century Gothic" w:hAnsi="Century Gothic" w:cs="Century Gothic"/>
          <w:color w:val="auto"/>
          <w:lang w:val="es-ES"/>
        </w:rPr>
        <w:t>afirm</w:t>
      </w:r>
      <w:r w:rsidR="205C8BFA" w:rsidRPr="05C1795E">
        <w:rPr>
          <w:rFonts w:ascii="Century Gothic" w:hAnsi="Century Gothic" w:cs="Century Gothic"/>
          <w:color w:val="auto"/>
          <w:lang w:val="es-ES"/>
        </w:rPr>
        <w:t>a</w:t>
      </w:r>
      <w:r w:rsidR="21964A83" w:rsidRPr="05C1795E">
        <w:rPr>
          <w:rFonts w:ascii="Century Gothic" w:hAnsi="Century Gothic" w:cs="Century Gothic"/>
          <w:color w:val="auto"/>
          <w:lang w:val="es-ES"/>
        </w:rPr>
        <w:t xml:space="preserve"> que este factor impulsa de forma directa su motivación y rendimiento</w:t>
      </w:r>
      <w:r w:rsidR="2F9201BC" w:rsidRPr="05C1795E">
        <w:rPr>
          <w:rFonts w:ascii="Century Gothic" w:hAnsi="Century Gothic" w:cs="Century Gothic"/>
          <w:color w:val="auto"/>
          <w:lang w:val="es-ES"/>
        </w:rPr>
        <w:t xml:space="preserve"> y</w:t>
      </w:r>
      <w:r w:rsidR="21964A83" w:rsidRPr="05C1795E">
        <w:rPr>
          <w:rFonts w:ascii="Century Gothic" w:hAnsi="Century Gothic" w:cs="Century Gothic"/>
          <w:color w:val="auto"/>
          <w:lang w:val="es-ES"/>
        </w:rPr>
        <w:t xml:space="preserve"> hasta un </w:t>
      </w:r>
      <w:r w:rsidR="6267F58B" w:rsidRPr="05C1795E">
        <w:rPr>
          <w:rFonts w:ascii="Century Gothic" w:hAnsi="Century Gothic" w:cs="Century Gothic"/>
          <w:color w:val="auto"/>
          <w:lang w:val="es-ES"/>
        </w:rPr>
        <w:t>30,1 % recon</w:t>
      </w:r>
      <w:r w:rsidR="7C2D43F7" w:rsidRPr="05C1795E">
        <w:rPr>
          <w:rFonts w:ascii="Century Gothic" w:hAnsi="Century Gothic" w:cs="Century Gothic"/>
          <w:color w:val="auto"/>
          <w:lang w:val="es-ES"/>
        </w:rPr>
        <w:t>oc</w:t>
      </w:r>
      <w:r w:rsidR="2E5E3928" w:rsidRPr="05C1795E">
        <w:rPr>
          <w:rFonts w:ascii="Century Gothic" w:hAnsi="Century Gothic" w:cs="Century Gothic"/>
          <w:color w:val="auto"/>
          <w:lang w:val="es-ES"/>
        </w:rPr>
        <w:t xml:space="preserve">e </w:t>
      </w:r>
      <w:r w:rsidR="7C2D43F7" w:rsidRPr="05C1795E">
        <w:rPr>
          <w:rFonts w:ascii="Century Gothic" w:hAnsi="Century Gothic" w:cs="Century Gothic"/>
          <w:color w:val="auto"/>
          <w:lang w:val="es-ES"/>
        </w:rPr>
        <w:t xml:space="preserve">que suponen una ayuda importante, </w:t>
      </w:r>
      <w:r w:rsidR="0B8A3F99" w:rsidRPr="05C1795E">
        <w:rPr>
          <w:rFonts w:ascii="Century Gothic" w:hAnsi="Century Gothic" w:cs="Century Gothic"/>
          <w:color w:val="auto"/>
          <w:lang w:val="es-ES"/>
        </w:rPr>
        <w:t>aunque no sean el único factor determinante</w:t>
      </w:r>
      <w:r w:rsidR="7C2D43F7" w:rsidRPr="05C1795E">
        <w:rPr>
          <w:rFonts w:ascii="Century Gothic" w:hAnsi="Century Gothic" w:cs="Century Gothic"/>
          <w:color w:val="auto"/>
          <w:lang w:val="es-ES"/>
        </w:rPr>
        <w:t>.</w:t>
      </w:r>
    </w:p>
    <w:p w14:paraId="58E39C35" w14:textId="4A7BED81" w:rsidR="0024626C" w:rsidRPr="0024626C" w:rsidRDefault="0024626C" w:rsidP="008F4119">
      <w:pPr>
        <w:jc w:val="both"/>
        <w:rPr>
          <w:rFonts w:ascii="Century Gothic" w:hAnsi="Century Gothic" w:cs="Century Gothic"/>
          <w:color w:val="auto"/>
          <w:lang w:val="es-ES"/>
        </w:rPr>
      </w:pPr>
    </w:p>
    <w:p w14:paraId="539D0BBC" w14:textId="4450F46F" w:rsidR="009830BB" w:rsidRPr="0024626C" w:rsidRDefault="009830BB" w:rsidP="05C1795E">
      <w:pPr>
        <w:jc w:val="both"/>
        <w:rPr>
          <w:rFonts w:ascii="Century Gothic" w:hAnsi="Century Gothic" w:cs="Century Gothic"/>
          <w:color w:val="auto"/>
          <w:lang w:val="es-ES"/>
        </w:rPr>
      </w:pPr>
    </w:p>
    <w:p w14:paraId="30C47E21" w14:textId="58E10138" w:rsidR="40903C25" w:rsidRPr="009F4D2D" w:rsidRDefault="40903C25" w:rsidP="05C1795E">
      <w:pPr>
        <w:jc w:val="both"/>
        <w:rPr>
          <w:lang w:val="es-ES"/>
        </w:rPr>
      </w:pPr>
      <w:r w:rsidRPr="05C1795E">
        <w:rPr>
          <w:rFonts w:ascii="Century Gothic" w:hAnsi="Century Gothic" w:cs="Century Gothic"/>
          <w:b/>
          <w:bCs/>
          <w:color w:val="auto"/>
          <w:lang w:val="es-ES"/>
        </w:rPr>
        <w:t>T</w:t>
      </w:r>
      <w:r w:rsidR="00170935" w:rsidRPr="05C1795E">
        <w:rPr>
          <w:rFonts w:ascii="Century Gothic" w:hAnsi="Century Gothic" w:cs="Century Gothic"/>
          <w:b/>
          <w:bCs/>
          <w:color w:val="auto"/>
          <w:lang w:val="es-ES"/>
        </w:rPr>
        <w:t>alento sénior</w:t>
      </w:r>
      <w:r w:rsidR="388E1B3C" w:rsidRPr="05C1795E">
        <w:rPr>
          <w:rFonts w:ascii="Century Gothic" w:hAnsi="Century Gothic" w:cs="Century Gothic"/>
          <w:b/>
          <w:bCs/>
          <w:color w:val="auto"/>
          <w:lang w:val="es-ES"/>
        </w:rPr>
        <w:t xml:space="preserve"> y mujeres</w:t>
      </w:r>
      <w:r w:rsidR="00170935" w:rsidRPr="05C1795E">
        <w:rPr>
          <w:rFonts w:ascii="Century Gothic" w:hAnsi="Century Gothic" w:cs="Century Gothic"/>
          <w:b/>
          <w:bCs/>
          <w:color w:val="auto"/>
          <w:lang w:val="es-ES"/>
        </w:rPr>
        <w:t xml:space="preserve">, </w:t>
      </w:r>
      <w:r w:rsidR="4BF083F7" w:rsidRPr="05C1795E">
        <w:rPr>
          <w:rFonts w:ascii="Century Gothic" w:hAnsi="Century Gothic" w:cs="Century Gothic"/>
          <w:b/>
          <w:bCs/>
          <w:color w:val="auto"/>
          <w:lang w:val="es-ES"/>
        </w:rPr>
        <w:t>las franjas con opciones m</w:t>
      </w:r>
      <w:r w:rsidR="2BC077C7" w:rsidRPr="05C1795E">
        <w:rPr>
          <w:rFonts w:ascii="Century Gothic" w:hAnsi="Century Gothic" w:cs="Century Gothic"/>
          <w:b/>
          <w:bCs/>
          <w:color w:val="auto"/>
          <w:lang w:val="es-ES"/>
        </w:rPr>
        <w:t>enos flexibles</w:t>
      </w:r>
    </w:p>
    <w:p w14:paraId="25FB9979" w14:textId="77777777" w:rsidR="00170935" w:rsidRPr="00170935" w:rsidRDefault="00170935" w:rsidP="00170935">
      <w:pPr>
        <w:jc w:val="both"/>
        <w:rPr>
          <w:rFonts w:ascii="Century Gothic" w:hAnsi="Century Gothic" w:cs="Century Gothic"/>
          <w:b/>
          <w:bCs/>
          <w:color w:val="auto"/>
          <w:lang w:val="es-ES"/>
        </w:rPr>
      </w:pPr>
    </w:p>
    <w:p w14:paraId="5CECBEF4" w14:textId="4CAA228E" w:rsidR="00170935" w:rsidRDefault="00170935" w:rsidP="05C1795E">
      <w:pPr>
        <w:jc w:val="both"/>
        <w:rPr>
          <w:rFonts w:ascii="Century Gothic" w:hAnsi="Century Gothic" w:cs="Century Gothic"/>
          <w:b/>
          <w:bCs/>
          <w:color w:val="auto"/>
          <w:lang w:val="es-ES"/>
        </w:rPr>
      </w:pPr>
      <w:r w:rsidRPr="05C1795E">
        <w:rPr>
          <w:rFonts w:ascii="Century Gothic" w:hAnsi="Century Gothic" w:cs="Century Gothic"/>
          <w:color w:val="auto"/>
          <w:lang w:val="es-ES"/>
        </w:rPr>
        <w:t xml:space="preserve">La edad </w:t>
      </w:r>
      <w:r w:rsidR="419BFFD2" w:rsidRPr="05C1795E">
        <w:rPr>
          <w:rFonts w:ascii="Century Gothic" w:hAnsi="Century Gothic" w:cs="Century Gothic"/>
          <w:color w:val="auto"/>
          <w:lang w:val="es-ES"/>
        </w:rPr>
        <w:t>marca</w:t>
      </w:r>
      <w:r w:rsidR="139F17EC" w:rsidRPr="05C1795E">
        <w:rPr>
          <w:rFonts w:ascii="Century Gothic" w:hAnsi="Century Gothic" w:cs="Century Gothic"/>
          <w:color w:val="auto"/>
          <w:lang w:val="es-ES"/>
        </w:rPr>
        <w:t xml:space="preserve"> </w:t>
      </w:r>
      <w:r w:rsidRPr="05C1795E">
        <w:rPr>
          <w:rFonts w:ascii="Century Gothic" w:hAnsi="Century Gothic" w:cs="Century Gothic"/>
          <w:color w:val="auto"/>
          <w:lang w:val="es-ES"/>
        </w:rPr>
        <w:t xml:space="preserve">diferencias importantes. </w:t>
      </w:r>
      <w:r w:rsidRPr="05C1795E">
        <w:rPr>
          <w:rFonts w:ascii="Century Gothic" w:hAnsi="Century Gothic" w:cs="Century Gothic"/>
          <w:b/>
          <w:bCs/>
          <w:color w:val="auto"/>
          <w:lang w:val="es-ES"/>
        </w:rPr>
        <w:t xml:space="preserve">Los Baby </w:t>
      </w:r>
      <w:proofErr w:type="spellStart"/>
      <w:r w:rsidRPr="05C1795E">
        <w:rPr>
          <w:rFonts w:ascii="Century Gothic" w:hAnsi="Century Gothic" w:cs="Century Gothic"/>
          <w:b/>
          <w:bCs/>
          <w:color w:val="auto"/>
          <w:lang w:val="es-ES"/>
        </w:rPr>
        <w:t>Boomers</w:t>
      </w:r>
      <w:proofErr w:type="spellEnd"/>
      <w:r w:rsidRPr="05C1795E">
        <w:rPr>
          <w:rFonts w:ascii="Century Gothic" w:hAnsi="Century Gothic" w:cs="Century Gothic"/>
          <w:b/>
          <w:bCs/>
          <w:color w:val="auto"/>
          <w:lang w:val="es-ES"/>
        </w:rPr>
        <w:t>, de 62 a 65 años, son el grupo con menor acceso a fórmulas flexibles: el 37,1 % no cuenta con ninguna medida.</w:t>
      </w:r>
      <w:r w:rsidRPr="05C1795E">
        <w:rPr>
          <w:rFonts w:ascii="Century Gothic" w:hAnsi="Century Gothic" w:cs="Century Gothic"/>
          <w:color w:val="auto"/>
          <w:lang w:val="es-ES"/>
        </w:rPr>
        <w:t xml:space="preserve"> Entre la </w:t>
      </w:r>
      <w:r w:rsidRPr="05C1795E">
        <w:rPr>
          <w:rFonts w:ascii="Century Gothic" w:hAnsi="Century Gothic" w:cs="Century Gothic"/>
          <w:b/>
          <w:bCs/>
          <w:color w:val="auto"/>
          <w:lang w:val="es-ES"/>
        </w:rPr>
        <w:t>Generación X</w:t>
      </w:r>
      <w:r w:rsidRPr="05C1795E">
        <w:rPr>
          <w:rFonts w:ascii="Century Gothic" w:hAnsi="Century Gothic" w:cs="Century Gothic"/>
          <w:color w:val="auto"/>
          <w:lang w:val="es-ES"/>
        </w:rPr>
        <w:t xml:space="preserve">, de 46 a 61 años, el porcentaje </w:t>
      </w:r>
      <w:r w:rsidRPr="05C1795E">
        <w:rPr>
          <w:rFonts w:ascii="Century Gothic" w:hAnsi="Century Gothic" w:cs="Century Gothic"/>
          <w:b/>
          <w:bCs/>
          <w:color w:val="auto"/>
          <w:lang w:val="es-ES"/>
        </w:rPr>
        <w:t>alcanza el 25,9 %.</w:t>
      </w:r>
    </w:p>
    <w:p w14:paraId="45A23123" w14:textId="77777777" w:rsidR="00170935" w:rsidRPr="00170935" w:rsidRDefault="00170935" w:rsidP="00170935">
      <w:pPr>
        <w:jc w:val="both"/>
        <w:rPr>
          <w:rFonts w:ascii="Century Gothic" w:hAnsi="Century Gothic" w:cs="Century Gothic"/>
          <w:b/>
          <w:bCs/>
          <w:color w:val="auto"/>
          <w:lang w:val="es-ES"/>
        </w:rPr>
      </w:pPr>
    </w:p>
    <w:p w14:paraId="53350200" w14:textId="58171329" w:rsidR="00170935" w:rsidRPr="00170935" w:rsidRDefault="00170935" w:rsidP="05C1795E">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En el extremo contrario, </w:t>
      </w:r>
      <w:r w:rsidRPr="05C1795E">
        <w:rPr>
          <w:rFonts w:ascii="Century Gothic" w:hAnsi="Century Gothic" w:cs="Century Gothic"/>
          <w:b/>
          <w:bCs/>
          <w:color w:val="auto"/>
          <w:lang w:val="es-ES"/>
        </w:rPr>
        <w:t>la Generación Z registra el mayor acceso a flexibilidad moderada</w:t>
      </w:r>
      <w:r w:rsidR="75327164" w:rsidRPr="05C1795E">
        <w:rPr>
          <w:rFonts w:ascii="Century Gothic" w:hAnsi="Century Gothic" w:cs="Century Gothic"/>
          <w:b/>
          <w:bCs/>
          <w:color w:val="auto"/>
          <w:lang w:val="es-ES"/>
        </w:rPr>
        <w:t xml:space="preserve"> o alta</w:t>
      </w:r>
      <w:r w:rsidRPr="05C1795E">
        <w:rPr>
          <w:rFonts w:ascii="Century Gothic" w:hAnsi="Century Gothic" w:cs="Century Gothic"/>
          <w:b/>
          <w:bCs/>
          <w:color w:val="auto"/>
          <w:lang w:val="es-ES"/>
        </w:rPr>
        <w:t xml:space="preserve">, con un </w:t>
      </w:r>
      <w:r w:rsidR="4698538F" w:rsidRPr="05C1795E">
        <w:rPr>
          <w:rFonts w:ascii="Century Gothic" w:hAnsi="Century Gothic" w:cs="Century Gothic"/>
          <w:b/>
          <w:bCs/>
          <w:color w:val="auto"/>
          <w:lang w:val="es-ES"/>
        </w:rPr>
        <w:t>54,7</w:t>
      </w:r>
      <w:r w:rsidRPr="05C1795E">
        <w:rPr>
          <w:rFonts w:ascii="Century Gothic" w:hAnsi="Century Gothic" w:cs="Century Gothic"/>
          <w:b/>
          <w:bCs/>
          <w:color w:val="auto"/>
          <w:lang w:val="es-ES"/>
        </w:rPr>
        <w:t xml:space="preserve"> %</w:t>
      </w:r>
      <w:r w:rsidRPr="05C1795E">
        <w:rPr>
          <w:rFonts w:ascii="Century Gothic" w:hAnsi="Century Gothic" w:cs="Century Gothic"/>
          <w:color w:val="auto"/>
          <w:lang w:val="es-ES"/>
        </w:rPr>
        <w:t xml:space="preserve">, mientras que los </w:t>
      </w:r>
      <w:proofErr w:type="spellStart"/>
      <w:r w:rsidRPr="05C1795E">
        <w:rPr>
          <w:rFonts w:ascii="Century Gothic" w:hAnsi="Century Gothic" w:cs="Century Gothic"/>
          <w:b/>
          <w:bCs/>
          <w:color w:val="auto"/>
          <w:lang w:val="es-ES"/>
        </w:rPr>
        <w:t>Millennials</w:t>
      </w:r>
      <w:proofErr w:type="spellEnd"/>
      <w:r w:rsidRPr="05C1795E">
        <w:rPr>
          <w:rFonts w:ascii="Century Gothic" w:hAnsi="Century Gothic" w:cs="Century Gothic"/>
          <w:b/>
          <w:bCs/>
          <w:color w:val="auto"/>
          <w:lang w:val="es-ES"/>
        </w:rPr>
        <w:t xml:space="preserve"> </w:t>
      </w:r>
      <w:r w:rsidR="2E8CCCC2" w:rsidRPr="05C1795E">
        <w:rPr>
          <w:rFonts w:ascii="Century Gothic" w:hAnsi="Century Gothic" w:cs="Century Gothic"/>
          <w:b/>
          <w:bCs/>
          <w:color w:val="auto"/>
          <w:lang w:val="es-ES"/>
        </w:rPr>
        <w:t>les siguen de cerca</w:t>
      </w:r>
      <w:r w:rsidRPr="05C1795E">
        <w:rPr>
          <w:rFonts w:ascii="Century Gothic" w:hAnsi="Century Gothic" w:cs="Century Gothic"/>
          <w:b/>
          <w:bCs/>
          <w:color w:val="auto"/>
          <w:lang w:val="es-ES"/>
        </w:rPr>
        <w:t xml:space="preserve"> con un </w:t>
      </w:r>
      <w:r w:rsidR="384BCCFA" w:rsidRPr="05C1795E">
        <w:rPr>
          <w:rFonts w:ascii="Century Gothic" w:hAnsi="Century Gothic" w:cs="Century Gothic"/>
          <w:b/>
          <w:bCs/>
          <w:color w:val="auto"/>
          <w:lang w:val="es-ES"/>
        </w:rPr>
        <w:lastRenderedPageBreak/>
        <w:t>56,1</w:t>
      </w:r>
      <w:r w:rsidRPr="05C1795E">
        <w:rPr>
          <w:rFonts w:ascii="Century Gothic" w:hAnsi="Century Gothic" w:cs="Century Gothic"/>
          <w:b/>
          <w:bCs/>
          <w:color w:val="auto"/>
          <w:lang w:val="es-ES"/>
        </w:rPr>
        <w:t xml:space="preserve"> %.</w:t>
      </w:r>
      <w:r w:rsidR="0E8C4004" w:rsidRPr="05C1795E">
        <w:rPr>
          <w:rFonts w:ascii="Century Gothic" w:hAnsi="Century Gothic" w:cs="Century Gothic"/>
          <w:b/>
          <w:bCs/>
          <w:color w:val="auto"/>
          <w:lang w:val="es-ES"/>
        </w:rPr>
        <w:t xml:space="preserve"> </w:t>
      </w:r>
      <w:r w:rsidRPr="05C1795E">
        <w:rPr>
          <w:rFonts w:ascii="Century Gothic" w:hAnsi="Century Gothic" w:cs="Century Gothic"/>
          <w:color w:val="auto"/>
          <w:lang w:val="es-ES"/>
        </w:rPr>
        <w:t>Precisamente</w:t>
      </w:r>
      <w:r w:rsidRPr="05C1795E">
        <w:rPr>
          <w:rFonts w:ascii="Century Gothic" w:hAnsi="Century Gothic" w:cs="Century Gothic"/>
          <w:b/>
          <w:bCs/>
          <w:color w:val="auto"/>
          <w:lang w:val="es-ES"/>
        </w:rPr>
        <w:t xml:space="preserve">, son los </w:t>
      </w:r>
      <w:proofErr w:type="spellStart"/>
      <w:r w:rsidRPr="05C1795E">
        <w:rPr>
          <w:rFonts w:ascii="Century Gothic" w:hAnsi="Century Gothic" w:cs="Century Gothic"/>
          <w:b/>
          <w:bCs/>
          <w:color w:val="auto"/>
          <w:lang w:val="es-ES"/>
        </w:rPr>
        <w:t>Millennials</w:t>
      </w:r>
      <w:proofErr w:type="spellEnd"/>
      <w:r w:rsidRPr="05C1795E">
        <w:rPr>
          <w:rFonts w:ascii="Century Gothic" w:hAnsi="Century Gothic" w:cs="Century Gothic"/>
          <w:b/>
          <w:bCs/>
          <w:color w:val="auto"/>
          <w:lang w:val="es-ES"/>
        </w:rPr>
        <w:t xml:space="preserve"> quienes más valoran su impacto: el 56,6 % afirma que la flexibilidad aumenta su motivación y rendimiento</w:t>
      </w:r>
      <w:r w:rsidRPr="05C1795E">
        <w:rPr>
          <w:rFonts w:ascii="Century Gothic" w:hAnsi="Century Gothic" w:cs="Century Gothic"/>
          <w:color w:val="auto"/>
          <w:lang w:val="es-ES"/>
        </w:rPr>
        <w:t>, lo que demuestra que adaptar la organización del trabajo no solo facilita la conciliación estival, sino que también puede mejorar el desempeño.</w:t>
      </w:r>
    </w:p>
    <w:p w14:paraId="2EDB6256" w14:textId="77777777" w:rsidR="003F0F9B" w:rsidRPr="0024626C" w:rsidRDefault="003F0F9B" w:rsidP="0024626C">
      <w:pPr>
        <w:jc w:val="both"/>
        <w:rPr>
          <w:rFonts w:ascii="Century Gothic" w:hAnsi="Century Gothic" w:cs="Century Gothic"/>
          <w:color w:val="auto"/>
          <w:lang w:val="es-ES"/>
        </w:rPr>
      </w:pPr>
    </w:p>
    <w:p w14:paraId="3A0B7DBD" w14:textId="5A5D382B" w:rsidR="06799B07" w:rsidRDefault="06799B07" w:rsidP="05C1795E">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Por otro lado, las mujeres se encuentran en </w:t>
      </w:r>
      <w:r w:rsidR="2951569C" w:rsidRPr="05C1795E">
        <w:rPr>
          <w:rFonts w:ascii="Century Gothic" w:hAnsi="Century Gothic" w:cs="Century Gothic"/>
          <w:color w:val="auto"/>
          <w:lang w:val="es-ES"/>
        </w:rPr>
        <w:t>posiciones más rígidas, con un</w:t>
      </w:r>
      <w:r w:rsidRPr="05C1795E">
        <w:rPr>
          <w:rFonts w:ascii="Century Gothic" w:hAnsi="Century Gothic" w:cs="Century Gothic"/>
          <w:color w:val="auto"/>
          <w:lang w:val="es-ES"/>
        </w:rPr>
        <w:t xml:space="preserve"> </w:t>
      </w:r>
      <w:r w:rsidRPr="05C1795E">
        <w:rPr>
          <w:rFonts w:ascii="Century Gothic" w:hAnsi="Century Gothic" w:cs="Century Gothic"/>
          <w:b/>
          <w:bCs/>
          <w:color w:val="auto"/>
          <w:lang w:val="es-ES"/>
        </w:rPr>
        <w:t xml:space="preserve">26,3 % </w:t>
      </w:r>
      <w:r w:rsidR="1531374C" w:rsidRPr="05C1795E">
        <w:rPr>
          <w:rFonts w:ascii="Century Gothic" w:hAnsi="Century Gothic" w:cs="Century Gothic"/>
          <w:b/>
          <w:bCs/>
          <w:color w:val="auto"/>
          <w:lang w:val="es-ES"/>
        </w:rPr>
        <w:t xml:space="preserve">que </w:t>
      </w:r>
      <w:r w:rsidRPr="05C1795E">
        <w:rPr>
          <w:rFonts w:ascii="Century Gothic" w:hAnsi="Century Gothic" w:cs="Century Gothic"/>
          <w:b/>
          <w:bCs/>
          <w:color w:val="auto"/>
          <w:lang w:val="es-ES"/>
        </w:rPr>
        <w:t>no dispone de ninguna flexibilidad</w:t>
      </w:r>
      <w:r w:rsidRPr="05C1795E">
        <w:rPr>
          <w:rFonts w:ascii="Century Gothic" w:hAnsi="Century Gothic" w:cs="Century Gothic"/>
          <w:color w:val="auto"/>
          <w:lang w:val="es-ES"/>
        </w:rPr>
        <w:t>, frente al 19,5 % de los hombres.</w:t>
      </w:r>
      <w:r w:rsidR="427D81B8" w:rsidRPr="05C1795E">
        <w:rPr>
          <w:rFonts w:ascii="Century Gothic" w:hAnsi="Century Gothic" w:cs="Century Gothic"/>
          <w:color w:val="auto"/>
          <w:lang w:val="es-ES"/>
        </w:rPr>
        <w:t xml:space="preserve"> </w:t>
      </w:r>
      <w:r w:rsidRPr="05C1795E">
        <w:rPr>
          <w:rFonts w:ascii="Century Gothic" w:hAnsi="Century Gothic" w:cs="Century Gothic"/>
          <w:color w:val="auto"/>
          <w:lang w:val="es-ES"/>
        </w:rPr>
        <w:t>Esta desigualdad resulta especialmente significativa en un periodo en el que la conciliación gana peso y la falta de autonomía sobre el tiempo puede incrementar la presión personal y profesional.</w:t>
      </w:r>
    </w:p>
    <w:p w14:paraId="1D09DDC2" w14:textId="157F1B01" w:rsidR="05C1795E" w:rsidRDefault="05C1795E" w:rsidP="05C1795E">
      <w:pPr>
        <w:jc w:val="both"/>
        <w:rPr>
          <w:rFonts w:ascii="Century Gothic" w:hAnsi="Century Gothic" w:cs="Century Gothic"/>
          <w:color w:val="auto"/>
          <w:lang w:val="es-ES"/>
        </w:rPr>
      </w:pPr>
    </w:p>
    <w:p w14:paraId="03B3E170" w14:textId="108CEC1F" w:rsidR="05C1795E" w:rsidRDefault="05C1795E" w:rsidP="05C1795E">
      <w:pPr>
        <w:jc w:val="both"/>
        <w:rPr>
          <w:rFonts w:ascii="Century Gothic" w:hAnsi="Century Gothic" w:cs="Century Gothic"/>
          <w:color w:val="auto"/>
          <w:lang w:val="es-ES"/>
        </w:rPr>
      </w:pPr>
    </w:p>
    <w:p w14:paraId="312FD84D" w14:textId="2341E614" w:rsidR="007F3A12" w:rsidRPr="009F4D2D" w:rsidRDefault="06799B07" w:rsidP="05C1795E">
      <w:pPr>
        <w:jc w:val="both"/>
        <w:rPr>
          <w:lang w:val="es-ES"/>
        </w:rPr>
      </w:pPr>
      <w:r w:rsidRPr="05C1795E">
        <w:rPr>
          <w:rFonts w:ascii="Century Gothic" w:hAnsi="Century Gothic" w:cs="Century Gothic"/>
          <w:b/>
          <w:bCs/>
          <w:color w:val="auto"/>
          <w:lang w:val="es-ES"/>
        </w:rPr>
        <w:t>El mapa de la flexibilidad: de Madrid a Galicia</w:t>
      </w:r>
    </w:p>
    <w:p w14:paraId="53C1A986" w14:textId="77777777" w:rsidR="007F3A12" w:rsidRPr="007F3A12" w:rsidRDefault="007F3A12" w:rsidP="007F3A12">
      <w:pPr>
        <w:jc w:val="both"/>
        <w:rPr>
          <w:rFonts w:ascii="Century Gothic" w:hAnsi="Century Gothic" w:cs="Century Gothic"/>
          <w:b/>
          <w:bCs/>
          <w:color w:val="auto"/>
          <w:lang w:val="es-ES"/>
        </w:rPr>
      </w:pPr>
    </w:p>
    <w:p w14:paraId="5D7238A4" w14:textId="77777777" w:rsidR="007F3A12" w:rsidRPr="007F3A12" w:rsidRDefault="007F3A12" w:rsidP="007F3A12">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Las diferencias territoriales también se hacen visibles. La </w:t>
      </w:r>
      <w:r w:rsidRPr="05C1795E">
        <w:rPr>
          <w:rFonts w:ascii="Century Gothic" w:hAnsi="Century Gothic" w:cs="Century Gothic"/>
          <w:b/>
          <w:bCs/>
          <w:color w:val="auto"/>
          <w:lang w:val="es-ES"/>
        </w:rPr>
        <w:t>Comunidad de Madrid encabeza el acceso a modelos flexibles</w:t>
      </w:r>
      <w:r w:rsidRPr="05C1795E">
        <w:rPr>
          <w:rFonts w:ascii="Century Gothic" w:hAnsi="Century Gothic" w:cs="Century Gothic"/>
          <w:color w:val="auto"/>
          <w:lang w:val="es-ES"/>
        </w:rPr>
        <w:t>: el 64,7 % de los profesionales dispone de flexibilidad alta o moderada, mientras que solo un 17,6 % afirma no contar con ninguna medida. Madrid vuelve a destacar en la valoración de estas políticas: el 60,9 % asegura que aumentan significativamente su motivación y rendimiento, el porcentaje más alto entre los territorios analizados.</w:t>
      </w:r>
    </w:p>
    <w:p w14:paraId="61DD0393" w14:textId="77777777" w:rsidR="007F3A12" w:rsidRPr="007F3A12" w:rsidRDefault="007F3A12" w:rsidP="007F3A12">
      <w:pPr>
        <w:jc w:val="both"/>
        <w:rPr>
          <w:rFonts w:ascii="Century Gothic" w:hAnsi="Century Gothic" w:cs="Century Gothic"/>
          <w:color w:val="auto"/>
          <w:lang w:val="es-ES"/>
        </w:rPr>
      </w:pPr>
    </w:p>
    <w:p w14:paraId="271C5644" w14:textId="77777777" w:rsidR="007F3A12" w:rsidRPr="007F3A12" w:rsidRDefault="007F3A12" w:rsidP="007F3A12">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En el extremo contrario se sitúa </w:t>
      </w:r>
      <w:r w:rsidRPr="05C1795E">
        <w:rPr>
          <w:rFonts w:ascii="Century Gothic" w:hAnsi="Century Gothic" w:cs="Century Gothic"/>
          <w:b/>
          <w:bCs/>
          <w:color w:val="auto"/>
          <w:lang w:val="es-ES"/>
        </w:rPr>
        <w:t>Galicia</w:t>
      </w:r>
      <w:r w:rsidRPr="05C1795E">
        <w:rPr>
          <w:rFonts w:ascii="Century Gothic" w:hAnsi="Century Gothic" w:cs="Century Gothic"/>
          <w:color w:val="auto"/>
          <w:lang w:val="es-ES"/>
        </w:rPr>
        <w:t xml:space="preserve">, donde apenas </w:t>
      </w:r>
      <w:r w:rsidRPr="05C1795E">
        <w:rPr>
          <w:rFonts w:ascii="Century Gothic" w:hAnsi="Century Gothic" w:cs="Century Gothic"/>
          <w:b/>
          <w:bCs/>
          <w:color w:val="auto"/>
          <w:lang w:val="es-ES"/>
        </w:rPr>
        <w:t>un 9,6 % disfruta de alta flexibilidad</w:t>
      </w:r>
      <w:r w:rsidRPr="05C1795E">
        <w:rPr>
          <w:rFonts w:ascii="Century Gothic" w:hAnsi="Century Gothic" w:cs="Century Gothic"/>
          <w:color w:val="auto"/>
          <w:lang w:val="es-ES"/>
        </w:rPr>
        <w:t xml:space="preserve"> y el 34,5 % trabaja sin ninguna opción. La Comunidad Valenciana también presenta un porcentaje elevado de profesionales sin flexibilidad, con un 29,1 %.</w:t>
      </w:r>
    </w:p>
    <w:p w14:paraId="78B5BA4B" w14:textId="77777777" w:rsidR="007F3A12" w:rsidRPr="007F3A12" w:rsidRDefault="007F3A12" w:rsidP="007F3A12">
      <w:pPr>
        <w:jc w:val="both"/>
        <w:rPr>
          <w:rFonts w:ascii="Century Gothic" w:hAnsi="Century Gothic" w:cs="Century Gothic"/>
          <w:color w:val="auto"/>
          <w:lang w:val="es-ES"/>
        </w:rPr>
      </w:pPr>
    </w:p>
    <w:p w14:paraId="40F01810" w14:textId="77777777" w:rsidR="007F3A12" w:rsidRPr="007F3A12" w:rsidRDefault="007F3A12" w:rsidP="007F3A12">
      <w:pPr>
        <w:jc w:val="both"/>
        <w:rPr>
          <w:rFonts w:ascii="Century Gothic" w:hAnsi="Century Gothic" w:cs="Century Gothic"/>
          <w:color w:val="auto"/>
          <w:lang w:val="es-ES"/>
        </w:rPr>
      </w:pPr>
    </w:p>
    <w:p w14:paraId="282734C4" w14:textId="77777777" w:rsidR="007F3A12" w:rsidRDefault="007F3A12" w:rsidP="007F3A12">
      <w:pPr>
        <w:jc w:val="both"/>
        <w:rPr>
          <w:rFonts w:ascii="Century Gothic" w:hAnsi="Century Gothic" w:cs="Century Gothic"/>
          <w:b/>
          <w:bCs/>
          <w:color w:val="auto"/>
          <w:lang w:val="es-ES"/>
        </w:rPr>
      </w:pPr>
      <w:r w:rsidRPr="007F3A12">
        <w:rPr>
          <w:rFonts w:ascii="Century Gothic" w:hAnsi="Century Gothic" w:cs="Century Gothic"/>
          <w:b/>
          <w:bCs/>
          <w:color w:val="auto"/>
          <w:lang w:val="es-ES"/>
        </w:rPr>
        <w:t>Más de la mitad del talento de las pymes tiene poca o ninguna flexibilidad</w:t>
      </w:r>
    </w:p>
    <w:p w14:paraId="57AC65B4" w14:textId="77777777" w:rsidR="007F3A12" w:rsidRPr="007F3A12" w:rsidRDefault="007F3A12" w:rsidP="007F3A12">
      <w:pPr>
        <w:jc w:val="both"/>
        <w:rPr>
          <w:rFonts w:ascii="Century Gothic" w:hAnsi="Century Gothic" w:cs="Century Gothic"/>
          <w:b/>
          <w:bCs/>
          <w:color w:val="auto"/>
          <w:lang w:val="es-ES"/>
        </w:rPr>
      </w:pPr>
    </w:p>
    <w:p w14:paraId="03200897" w14:textId="53A345F4" w:rsidR="007F3A12" w:rsidRDefault="007F3A12" w:rsidP="05C1795E">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El tamaño de la empresa </w:t>
      </w:r>
      <w:r w:rsidR="75994A67" w:rsidRPr="05C1795E">
        <w:rPr>
          <w:rFonts w:ascii="Century Gothic" w:hAnsi="Century Gothic" w:cs="Century Gothic"/>
          <w:color w:val="auto"/>
          <w:lang w:val="es-ES"/>
        </w:rPr>
        <w:t>es otro de los condicionantes que puede limitar la capacidad de adaptar las jornadas.</w:t>
      </w:r>
      <w:r w:rsidRPr="05C1795E">
        <w:rPr>
          <w:rFonts w:ascii="Century Gothic" w:hAnsi="Century Gothic" w:cs="Century Gothic"/>
          <w:color w:val="auto"/>
          <w:lang w:val="es-ES"/>
        </w:rPr>
        <w:t xml:space="preserve"> Las </w:t>
      </w:r>
      <w:r w:rsidRPr="05C1795E">
        <w:rPr>
          <w:rFonts w:ascii="Century Gothic" w:hAnsi="Century Gothic" w:cs="Century Gothic"/>
          <w:b/>
          <w:bCs/>
          <w:color w:val="auto"/>
          <w:lang w:val="es-ES"/>
        </w:rPr>
        <w:t>microempresas lideran la alta flexibilidad</w:t>
      </w:r>
      <w:r w:rsidRPr="05C1795E">
        <w:rPr>
          <w:rFonts w:ascii="Century Gothic" w:hAnsi="Century Gothic" w:cs="Century Gothic"/>
          <w:color w:val="auto"/>
          <w:lang w:val="es-ES"/>
        </w:rPr>
        <w:t>, con un 33 %, por delante de las grandes compañías, con un 18,7 %, y de las pymes, con un 14,3 %.</w:t>
      </w:r>
    </w:p>
    <w:p w14:paraId="0BD9E42C" w14:textId="77777777" w:rsidR="00CB6A71" w:rsidRPr="007F3A12" w:rsidRDefault="00CB6A71" w:rsidP="007F3A12">
      <w:pPr>
        <w:jc w:val="both"/>
        <w:rPr>
          <w:rFonts w:ascii="Century Gothic" w:hAnsi="Century Gothic" w:cs="Century Gothic"/>
          <w:color w:val="auto"/>
          <w:lang w:val="es-ES"/>
        </w:rPr>
      </w:pPr>
    </w:p>
    <w:p w14:paraId="7EF643F8" w14:textId="77777777" w:rsidR="007F3A12" w:rsidRDefault="007F3A12" w:rsidP="007F3A12">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Las pymes presentan la situación más desfavorable. </w:t>
      </w:r>
      <w:r w:rsidRPr="05C1795E">
        <w:rPr>
          <w:rFonts w:ascii="Century Gothic" w:hAnsi="Century Gothic" w:cs="Century Gothic"/>
          <w:b/>
          <w:bCs/>
          <w:color w:val="auto"/>
          <w:lang w:val="es-ES"/>
        </w:rPr>
        <w:t>El 24,6 % de sus profesionales no cuenta con ninguna medida flexible</w:t>
      </w:r>
      <w:r w:rsidRPr="05C1795E">
        <w:rPr>
          <w:rFonts w:ascii="Century Gothic" w:hAnsi="Century Gothic" w:cs="Century Gothic"/>
          <w:color w:val="auto"/>
          <w:lang w:val="es-ES"/>
        </w:rPr>
        <w:t xml:space="preserve"> y otro 28,8 % dispone únicamente de opciones limitadas. En total, más de la mitad del talento de estas compañías trabaja bajo modelos poco o nada flexibles.</w:t>
      </w:r>
    </w:p>
    <w:p w14:paraId="466BB885" w14:textId="77777777" w:rsidR="0036034E" w:rsidRPr="007F3A12" w:rsidRDefault="0036034E" w:rsidP="007F3A12">
      <w:pPr>
        <w:jc w:val="both"/>
        <w:rPr>
          <w:rFonts w:ascii="Century Gothic" w:hAnsi="Century Gothic" w:cs="Century Gothic"/>
          <w:color w:val="auto"/>
          <w:lang w:val="es-ES"/>
        </w:rPr>
      </w:pPr>
    </w:p>
    <w:p w14:paraId="6C2DF489" w14:textId="54AFD33A" w:rsidR="007F3A12" w:rsidRDefault="007F3A12" w:rsidP="05C1795E">
      <w:pPr>
        <w:jc w:val="both"/>
        <w:rPr>
          <w:rFonts w:ascii="Century Gothic" w:hAnsi="Century Gothic" w:cs="Century Gothic"/>
          <w:b/>
          <w:bCs/>
          <w:color w:val="auto"/>
          <w:lang w:val="es-ES"/>
        </w:rPr>
      </w:pPr>
      <w:r w:rsidRPr="05C1795E">
        <w:rPr>
          <w:rFonts w:ascii="Century Gothic" w:hAnsi="Century Gothic" w:cs="Century Gothic"/>
          <w:b/>
          <w:bCs/>
          <w:color w:val="auto"/>
          <w:lang w:val="es-ES"/>
        </w:rPr>
        <w:t xml:space="preserve">Hostelería y turismo, </w:t>
      </w:r>
      <w:r w:rsidR="7190D17A" w:rsidRPr="05C1795E">
        <w:rPr>
          <w:rFonts w:ascii="Century Gothic" w:hAnsi="Century Gothic" w:cs="Century Gothic"/>
          <w:b/>
          <w:bCs/>
          <w:color w:val="auto"/>
          <w:lang w:val="es-ES"/>
        </w:rPr>
        <w:t>el sector</w:t>
      </w:r>
      <w:r w:rsidR="3B34FBD7" w:rsidRPr="05C1795E">
        <w:rPr>
          <w:rFonts w:ascii="Century Gothic" w:hAnsi="Century Gothic" w:cs="Century Gothic"/>
          <w:b/>
          <w:bCs/>
          <w:color w:val="auto"/>
          <w:lang w:val="es-ES"/>
        </w:rPr>
        <w:t xml:space="preserve"> </w:t>
      </w:r>
      <w:r w:rsidRPr="05C1795E">
        <w:rPr>
          <w:rFonts w:ascii="Century Gothic" w:hAnsi="Century Gothic" w:cs="Century Gothic"/>
          <w:b/>
          <w:bCs/>
          <w:color w:val="auto"/>
          <w:lang w:val="es-ES"/>
        </w:rPr>
        <w:t>con menos margen en plena temporada alta</w:t>
      </w:r>
    </w:p>
    <w:p w14:paraId="5A9078CB" w14:textId="77777777" w:rsidR="0036034E" w:rsidRPr="0036034E" w:rsidRDefault="0036034E" w:rsidP="007F3A12">
      <w:pPr>
        <w:jc w:val="both"/>
        <w:rPr>
          <w:rFonts w:ascii="Century Gothic" w:hAnsi="Century Gothic" w:cs="Century Gothic"/>
          <w:b/>
          <w:bCs/>
          <w:color w:val="auto"/>
          <w:lang w:val="es-ES"/>
        </w:rPr>
      </w:pPr>
    </w:p>
    <w:p w14:paraId="3A0B1E1C" w14:textId="77777777" w:rsidR="007F3A12" w:rsidRDefault="007F3A12" w:rsidP="007F3A12">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Las diferencias por sectores resultan especialmente relevantes durante el verano. </w:t>
      </w:r>
      <w:r w:rsidRPr="05C1795E">
        <w:rPr>
          <w:rFonts w:ascii="Century Gothic" w:hAnsi="Century Gothic" w:cs="Century Gothic"/>
          <w:b/>
          <w:bCs/>
          <w:color w:val="auto"/>
          <w:lang w:val="es-ES"/>
        </w:rPr>
        <w:t>Información y comunicaciones</w:t>
      </w:r>
      <w:r w:rsidRPr="05C1795E">
        <w:rPr>
          <w:rFonts w:ascii="Century Gothic" w:hAnsi="Century Gothic" w:cs="Century Gothic"/>
          <w:color w:val="auto"/>
          <w:lang w:val="es-ES"/>
        </w:rPr>
        <w:t xml:space="preserve"> lidera la flexibilidad laboral: el 75,8 % de los profesionales dispone de medidas altas o moderadas y solo un 6,9 % no cuenta con ninguna.</w:t>
      </w:r>
    </w:p>
    <w:p w14:paraId="3392647B" w14:textId="77777777" w:rsidR="0036034E" w:rsidRPr="007F3A12" w:rsidRDefault="0036034E" w:rsidP="007F3A12">
      <w:pPr>
        <w:jc w:val="both"/>
        <w:rPr>
          <w:rFonts w:ascii="Century Gothic" w:hAnsi="Century Gothic" w:cs="Century Gothic"/>
          <w:color w:val="auto"/>
          <w:lang w:val="es-ES"/>
        </w:rPr>
      </w:pPr>
    </w:p>
    <w:p w14:paraId="578EF934" w14:textId="76939866" w:rsidR="007F3A12" w:rsidRPr="0036034E" w:rsidRDefault="007F3A12" w:rsidP="007F3A12">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En el extremo contrario se encuentra hostelería y turismo, precisamente uno de los sectores con mayor actividad durante los meses estivales. </w:t>
      </w:r>
      <w:r w:rsidRPr="05C1795E">
        <w:rPr>
          <w:rFonts w:ascii="Century Gothic" w:hAnsi="Century Gothic" w:cs="Century Gothic"/>
          <w:b/>
          <w:bCs/>
          <w:color w:val="auto"/>
          <w:lang w:val="es-ES"/>
        </w:rPr>
        <w:t>Casi uno de cada tres profesionales, el 32 %, trabaja sin ninguna medida de flexibilidad</w:t>
      </w:r>
      <w:r w:rsidRPr="05C1795E">
        <w:rPr>
          <w:rFonts w:ascii="Century Gothic" w:hAnsi="Century Gothic" w:cs="Century Gothic"/>
          <w:color w:val="auto"/>
          <w:lang w:val="es-ES"/>
        </w:rPr>
        <w:t>.</w:t>
      </w:r>
    </w:p>
    <w:p w14:paraId="48B6098F" w14:textId="77777777" w:rsidR="0036034E" w:rsidRPr="007F3A12" w:rsidRDefault="0036034E" w:rsidP="007F3A12">
      <w:pPr>
        <w:jc w:val="both"/>
        <w:rPr>
          <w:rFonts w:ascii="Century Gothic" w:hAnsi="Century Gothic" w:cs="Century Gothic"/>
          <w:b/>
          <w:bCs/>
          <w:color w:val="auto"/>
          <w:lang w:val="es-ES"/>
        </w:rPr>
      </w:pPr>
    </w:p>
    <w:p w14:paraId="17617DBC" w14:textId="0562DBB9" w:rsidR="007F3A12" w:rsidRPr="0036034E" w:rsidRDefault="007F3A12" w:rsidP="007F3A12">
      <w:pPr>
        <w:jc w:val="both"/>
        <w:rPr>
          <w:rFonts w:ascii="Century Gothic" w:hAnsi="Century Gothic" w:cs="Century Gothic"/>
          <w:color w:val="auto"/>
          <w:lang w:val="es-ES"/>
        </w:rPr>
      </w:pPr>
      <w:r w:rsidRPr="05C1795E">
        <w:rPr>
          <w:rFonts w:ascii="Century Gothic" w:hAnsi="Century Gothic" w:cs="Century Gothic"/>
          <w:color w:val="auto"/>
          <w:lang w:val="es-ES"/>
        </w:rPr>
        <w:t xml:space="preserve">Aunque no todas las actividades pueden recurrir al teletrabajo, existen </w:t>
      </w:r>
      <w:r w:rsidRPr="05C1795E">
        <w:rPr>
          <w:rFonts w:ascii="Century Gothic" w:hAnsi="Century Gothic" w:cs="Century Gothic"/>
          <w:b/>
          <w:bCs/>
          <w:color w:val="auto"/>
          <w:lang w:val="es-ES"/>
        </w:rPr>
        <w:t>otras alternativas</w:t>
      </w:r>
      <w:r w:rsidRPr="05C1795E">
        <w:rPr>
          <w:rFonts w:ascii="Century Gothic" w:hAnsi="Century Gothic" w:cs="Century Gothic"/>
          <w:color w:val="auto"/>
          <w:lang w:val="es-ES"/>
        </w:rPr>
        <w:t xml:space="preserve">: planificación anticipada de turnos, posibilidad de intercambio, adaptación horaria, jornadas </w:t>
      </w:r>
      <w:r w:rsidR="0036034E" w:rsidRPr="05C1795E">
        <w:rPr>
          <w:rFonts w:ascii="Century Gothic" w:hAnsi="Century Gothic" w:cs="Century Gothic"/>
          <w:color w:val="auto"/>
          <w:lang w:val="es-ES"/>
        </w:rPr>
        <w:t>intensivas</w:t>
      </w:r>
      <w:r w:rsidRPr="05C1795E">
        <w:rPr>
          <w:rFonts w:ascii="Century Gothic" w:hAnsi="Century Gothic" w:cs="Century Gothic"/>
          <w:color w:val="auto"/>
          <w:lang w:val="es-ES"/>
        </w:rPr>
        <w:t xml:space="preserve"> o mayor autonomía para organizar el tiempo. Medidas que pueden resultar especialmente relevantes en sectores sometidos a una mayor presión durante la temporada estival.</w:t>
      </w:r>
    </w:p>
    <w:p w14:paraId="40C65A64" w14:textId="77777777" w:rsidR="0036034E" w:rsidRPr="0036034E" w:rsidRDefault="0036034E" w:rsidP="007F3A12">
      <w:pPr>
        <w:jc w:val="both"/>
        <w:rPr>
          <w:rFonts w:ascii="Century Gothic" w:hAnsi="Century Gothic" w:cs="Century Gothic"/>
          <w:b/>
          <w:bCs/>
          <w:i/>
          <w:iCs/>
          <w:color w:val="auto"/>
          <w:lang w:val="es-ES"/>
        </w:rPr>
      </w:pPr>
    </w:p>
    <w:p w14:paraId="12216121" w14:textId="77777777" w:rsidR="007F3A12" w:rsidRPr="0036034E" w:rsidRDefault="007F3A12" w:rsidP="007F3A12">
      <w:pPr>
        <w:jc w:val="both"/>
        <w:rPr>
          <w:rFonts w:ascii="Century Gothic" w:hAnsi="Century Gothic" w:cs="Century Gothic"/>
          <w:b/>
          <w:bCs/>
          <w:i/>
          <w:iCs/>
          <w:color w:val="auto"/>
          <w:lang w:val="es-ES"/>
        </w:rPr>
      </w:pPr>
      <w:r w:rsidRPr="0036034E">
        <w:rPr>
          <w:rFonts w:ascii="Century Gothic" w:hAnsi="Century Gothic" w:cs="Century Gothic"/>
          <w:i/>
          <w:iCs/>
          <w:color w:val="auto"/>
          <w:lang w:val="es-ES"/>
        </w:rPr>
        <w:lastRenderedPageBreak/>
        <w:t>“El verano hace más visibles unas necesidades que acompañan a los equipos durante todo el año. Las vacaciones escolares, los cambios de horario y la planificación del descanso ponen a prueba la capacidad de las empresas para adaptarse. La flexibilidad no consiste en aplicar la misma fórmula en todas las organizaciones, sino en ofrecer alternativas compatibles con cada actividad. Los datos muestran que hacerlo mejora el bienestar, la motivación y el rendimiento”,</w:t>
      </w:r>
      <w:r w:rsidRPr="0036034E">
        <w:rPr>
          <w:rFonts w:ascii="Century Gothic" w:hAnsi="Century Gothic" w:cs="Century Gothic"/>
          <w:b/>
          <w:bCs/>
          <w:i/>
          <w:iCs/>
          <w:color w:val="auto"/>
          <w:lang w:val="es-ES"/>
        </w:rPr>
        <w:t xml:space="preserve"> afirma Olga </w:t>
      </w:r>
      <w:proofErr w:type="spellStart"/>
      <w:r w:rsidRPr="0036034E">
        <w:rPr>
          <w:rFonts w:ascii="Century Gothic" w:hAnsi="Century Gothic" w:cs="Century Gothic"/>
          <w:b/>
          <w:bCs/>
          <w:i/>
          <w:iCs/>
          <w:color w:val="auto"/>
          <w:lang w:val="es-ES"/>
        </w:rPr>
        <w:t>Zografou</w:t>
      </w:r>
      <w:proofErr w:type="spellEnd"/>
      <w:r w:rsidRPr="0036034E">
        <w:rPr>
          <w:rFonts w:ascii="Century Gothic" w:hAnsi="Century Gothic" w:cs="Century Gothic"/>
          <w:b/>
          <w:bCs/>
          <w:i/>
          <w:iCs/>
          <w:color w:val="auto"/>
          <w:lang w:val="es-ES"/>
        </w:rPr>
        <w:t>, directora de People &amp; CSR de Edenred España.</w:t>
      </w:r>
    </w:p>
    <w:p w14:paraId="117C3928" w14:textId="77777777" w:rsidR="0036034E" w:rsidRPr="007F3A12" w:rsidRDefault="0036034E" w:rsidP="007F3A12">
      <w:pPr>
        <w:jc w:val="both"/>
        <w:rPr>
          <w:rFonts w:ascii="Century Gothic" w:hAnsi="Century Gothic" w:cs="Century Gothic"/>
          <w:b/>
          <w:bCs/>
          <w:color w:val="auto"/>
          <w:lang w:val="es-ES"/>
        </w:rPr>
      </w:pPr>
    </w:p>
    <w:p w14:paraId="2597DB93" w14:textId="7CDAAA93" w:rsidR="007F3A12" w:rsidRPr="00DE5AE9" w:rsidRDefault="00DE5AE9" w:rsidP="007F3A12">
      <w:pPr>
        <w:jc w:val="both"/>
        <w:rPr>
          <w:rFonts w:ascii="Century Gothic" w:hAnsi="Century Gothic" w:cs="Century Gothic"/>
          <w:color w:val="auto"/>
          <w:lang w:val="es-ES"/>
        </w:rPr>
      </w:pPr>
      <w:r w:rsidRPr="00DE5AE9">
        <w:rPr>
          <w:rFonts w:ascii="Century Gothic" w:hAnsi="Century Gothic" w:cs="Century Gothic"/>
          <w:color w:val="auto"/>
          <w:lang w:val="es-ES"/>
        </w:rPr>
        <w:t>Avanzar</w:t>
      </w:r>
      <w:r w:rsidR="007F3A12" w:rsidRPr="00DE5AE9">
        <w:rPr>
          <w:rFonts w:ascii="Century Gothic" w:hAnsi="Century Gothic" w:cs="Century Gothic"/>
          <w:color w:val="auto"/>
          <w:lang w:val="es-ES"/>
        </w:rPr>
        <w:t xml:space="preserve"> hacia modelos más flexibles no es únicamente una cuestión de conciliación estival, sino también de competitividad y sostenibilidad empresarial. La adaptación de horarios, los beneficios sociales, la retribución flexible y las soluciones de bienestar permiten responder a las necesidades reales del talento, reducir la presión asociada a periodos como el verano y construir propuestas de valor capaces de fidelizar equipos durante todo el año.</w:t>
      </w:r>
    </w:p>
    <w:p w14:paraId="0CC2E8B7" w14:textId="62C0B654" w:rsidR="00372AD6" w:rsidRPr="00F17427" w:rsidRDefault="00372AD6" w:rsidP="0024626C">
      <w:pPr>
        <w:jc w:val="both"/>
        <w:rPr>
          <w:rFonts w:ascii="Century Gothic" w:hAnsi="Century Gothic" w:cs="Century Gothic"/>
          <w:color w:val="auto"/>
          <w:lang w:val="es-ES"/>
        </w:rPr>
      </w:pPr>
    </w:p>
    <w:p w14:paraId="51E74DA8" w14:textId="75388D9D" w:rsidR="0034131E" w:rsidRPr="00512CC2" w:rsidRDefault="00E660F9" w:rsidP="00F17427">
      <w:pPr>
        <w:jc w:val="both"/>
        <w:rPr>
          <w:rFonts w:ascii="Century Gothic" w:hAnsi="Century Gothic" w:cs="Century Gothic"/>
          <w:color w:val="auto"/>
          <w:lang w:val="es-ES"/>
        </w:rPr>
      </w:pPr>
      <w:r w:rsidRPr="00833D4F">
        <w:rPr>
          <w:rFonts w:ascii="Century Gothic" w:eastAsia="Century Gothic" w:hAnsi="Century Gothic" w:cs="Century Gothic"/>
          <w:color w:val="000000"/>
          <w:lang w:val="es-ES"/>
        </w:rPr>
        <w:t>▬▬</w:t>
      </w:r>
    </w:p>
    <w:p w14:paraId="319B1527" w14:textId="77777777" w:rsidR="0034131E" w:rsidRPr="00833D4F" w:rsidRDefault="0034131E">
      <w:pPr>
        <w:jc w:val="both"/>
        <w:rPr>
          <w:rFonts w:ascii="Century Gothic" w:eastAsia="Century Gothic" w:hAnsi="Century Gothic" w:cs="Century Gothic"/>
          <w:lang w:val="es-ES"/>
        </w:rPr>
      </w:pPr>
    </w:p>
    <w:p w14:paraId="25873AF5" w14:textId="77777777" w:rsidR="0034131E" w:rsidRPr="00833D4F" w:rsidRDefault="00E660F9">
      <w:pPr>
        <w:jc w:val="both"/>
        <w:rPr>
          <w:lang w:val="es-ES"/>
        </w:rPr>
      </w:pPr>
      <w:r w:rsidRPr="00833D4F">
        <w:rPr>
          <w:rFonts w:ascii="Century Gothic" w:eastAsia="Century Gothic" w:hAnsi="Century Gothic" w:cs="Century Gothic"/>
          <w:b/>
          <w:color w:val="000000"/>
          <w:sz w:val="18"/>
          <w:szCs w:val="18"/>
          <w:lang w:val="es-ES"/>
        </w:rPr>
        <w:t>Sobre Edenred</w:t>
      </w:r>
    </w:p>
    <w:p w14:paraId="1913A89B" w14:textId="35E52805"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lang w:val="es-ES"/>
        </w:rPr>
      </w:pPr>
    </w:p>
    <w:p w14:paraId="42281989" w14:textId="441184D9"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b/>
          <w:bCs/>
          <w:color w:val="000000" w:themeColor="text1"/>
          <w:sz w:val="18"/>
          <w:szCs w:val="18"/>
          <w:lang w:val="es-ES"/>
        </w:rPr>
        <w:t>Edenred</w:t>
      </w:r>
      <w:r w:rsidRPr="10C8913A">
        <w:rPr>
          <w:rFonts w:ascii="Century Gothic" w:eastAsia="Century Gothic" w:hAnsi="Century Gothic" w:cs="Century Gothic"/>
          <w:color w:val="000000" w:themeColor="text1"/>
          <w:sz w:val="18"/>
          <w:szCs w:val="18"/>
          <w:lang w:val="es-ES"/>
        </w:rPr>
        <w:t xml:space="preserve"> es líder </w:t>
      </w:r>
      <w:r w:rsidRPr="009F4D2D">
        <w:rPr>
          <w:rFonts w:ascii="Century Gothic" w:eastAsia="Century Gothic" w:hAnsi="Century Gothic" w:cs="Century Gothic"/>
          <w:color w:val="000000" w:themeColor="text1"/>
          <w:sz w:val="18"/>
          <w:szCs w:val="18"/>
          <w:lang w:val="es-ES"/>
        </w:rPr>
        <w:t xml:space="preserve">global en </w:t>
      </w:r>
      <w:proofErr w:type="spellStart"/>
      <w:r w:rsidRPr="009F4D2D">
        <w:rPr>
          <w:rFonts w:ascii="Century Gothic" w:eastAsia="Century Gothic" w:hAnsi="Century Gothic" w:cs="Century Gothic"/>
          <w:color w:val="000000" w:themeColor="text1"/>
          <w:sz w:val="18"/>
          <w:szCs w:val="18"/>
          <w:lang w:val="es-ES"/>
        </w:rPr>
        <w:t>Benefits</w:t>
      </w:r>
      <w:proofErr w:type="spellEnd"/>
      <w:r w:rsidRPr="009F4D2D">
        <w:rPr>
          <w:rFonts w:ascii="Century Gothic" w:eastAsia="Century Gothic" w:hAnsi="Century Gothic" w:cs="Century Gothic"/>
          <w:color w:val="000000" w:themeColor="text1"/>
          <w:sz w:val="18"/>
          <w:szCs w:val="18"/>
          <w:lang w:val="es-ES"/>
        </w:rPr>
        <w:t xml:space="preserve"> &amp; </w:t>
      </w:r>
      <w:proofErr w:type="spellStart"/>
      <w:r w:rsidRPr="009F4D2D">
        <w:rPr>
          <w:rFonts w:ascii="Century Gothic" w:eastAsia="Century Gothic" w:hAnsi="Century Gothic" w:cs="Century Gothic"/>
          <w:color w:val="000000" w:themeColor="text1"/>
          <w:sz w:val="18"/>
          <w:szCs w:val="18"/>
          <w:lang w:val="es-ES"/>
        </w:rPr>
        <w:t>Engagement</w:t>
      </w:r>
      <w:proofErr w:type="spellEnd"/>
      <w:r w:rsidRPr="009F4D2D">
        <w:rPr>
          <w:rFonts w:ascii="Century Gothic" w:eastAsia="Century Gothic" w:hAnsi="Century Gothic" w:cs="Century Gothic"/>
          <w:color w:val="000000" w:themeColor="text1"/>
          <w:sz w:val="18"/>
          <w:szCs w:val="18"/>
          <w:lang w:val="es-ES"/>
        </w:rPr>
        <w:t xml:space="preserve"> y Movilidad.</w:t>
      </w:r>
    </w:p>
    <w:p w14:paraId="55B811DA" w14:textId="1C38D9F9"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18A2EBB6" w14:textId="54F2D83D"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Con más de 1 millón de empresas cliente en 44 países, la plataforma de Edenred ofrece a más de 60 millones de usuarios acceso a los servicios y productos de más de 2 millones de comercios asociados.</w:t>
      </w:r>
    </w:p>
    <w:p w14:paraId="77B09E63" w14:textId="02CE97C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54A0712F" w14:textId="0256EC9E"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Edenred proporciona soluciones digitales dirigidas a profesionales (vales de comida, transporte al trabajo, tarjetas regalo, bienestar, incentivos y ofertas preferentes), a gestores de flotas (soluciones </w:t>
      </w:r>
      <w:proofErr w:type="spellStart"/>
      <w:r w:rsidRPr="10C8913A">
        <w:rPr>
          <w:rFonts w:ascii="Century Gothic" w:eastAsia="Century Gothic" w:hAnsi="Century Gothic" w:cs="Century Gothic"/>
          <w:color w:val="000000" w:themeColor="text1"/>
          <w:sz w:val="18"/>
          <w:szCs w:val="18"/>
          <w:lang w:val="es-ES"/>
        </w:rPr>
        <w:t>multienergía</w:t>
      </w:r>
      <w:proofErr w:type="spellEnd"/>
      <w:r w:rsidRPr="10C8913A">
        <w:rPr>
          <w:rFonts w:ascii="Century Gothic" w:eastAsia="Century Gothic" w:hAnsi="Century Gothic" w:cs="Century Gothic"/>
          <w:color w:val="000000" w:themeColor="text1"/>
          <w:sz w:val="18"/>
          <w:szCs w:val="18"/>
          <w:lang w:val="es-ES"/>
        </w:rPr>
        <w:t xml:space="preserve"> que incluyen recarga de vehículos eléctricos, servicios de mantenimiento, peajes y estacionamiento) y a pagos corporativos (tarjetas virtuales).</w:t>
      </w:r>
    </w:p>
    <w:p w14:paraId="7603B261" w14:textId="09ED759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087302A5" w14:textId="6C56C94B"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Guiadas por el propósito del Grupo, </w:t>
      </w:r>
      <w:r w:rsidRPr="10C8913A">
        <w:rPr>
          <w:rFonts w:ascii="Century Gothic" w:eastAsia="Century Gothic" w:hAnsi="Century Gothic" w:cs="Century Gothic"/>
          <w:i/>
          <w:iCs/>
          <w:color w:val="000000" w:themeColor="text1"/>
          <w:sz w:val="18"/>
          <w:szCs w:val="18"/>
          <w:lang w:val="es-ES"/>
        </w:rPr>
        <w:t>“</w:t>
      </w:r>
      <w:proofErr w:type="spellStart"/>
      <w:r w:rsidRPr="10C8913A">
        <w:rPr>
          <w:rFonts w:ascii="Century Gothic" w:eastAsia="Century Gothic" w:hAnsi="Century Gothic" w:cs="Century Gothic"/>
          <w:i/>
          <w:iCs/>
          <w:color w:val="000000" w:themeColor="text1"/>
          <w:sz w:val="18"/>
          <w:szCs w:val="18"/>
          <w:lang w:val="es-ES"/>
        </w:rPr>
        <w:t>Enrich</w:t>
      </w:r>
      <w:proofErr w:type="spellEnd"/>
      <w:r w:rsidRPr="10C8913A">
        <w:rPr>
          <w:rFonts w:ascii="Century Gothic" w:eastAsia="Century Gothic" w:hAnsi="Century Gothic" w:cs="Century Gothic"/>
          <w:i/>
          <w:iCs/>
          <w:color w:val="000000" w:themeColor="text1"/>
          <w:sz w:val="18"/>
          <w:szCs w:val="18"/>
          <w:lang w:val="es-ES"/>
        </w:rPr>
        <w:t xml:space="preserve"> </w:t>
      </w:r>
      <w:proofErr w:type="spellStart"/>
      <w:r w:rsidRPr="10C8913A">
        <w:rPr>
          <w:rFonts w:ascii="Century Gothic" w:eastAsia="Century Gothic" w:hAnsi="Century Gothic" w:cs="Century Gothic"/>
          <w:i/>
          <w:iCs/>
          <w:color w:val="000000" w:themeColor="text1"/>
          <w:sz w:val="18"/>
          <w:szCs w:val="18"/>
          <w:lang w:val="es-ES"/>
        </w:rPr>
        <w:t>connections</w:t>
      </w:r>
      <w:proofErr w:type="spellEnd"/>
      <w:r w:rsidRPr="10C8913A">
        <w:rPr>
          <w:rFonts w:ascii="Century Gothic" w:eastAsia="Century Gothic" w:hAnsi="Century Gothic" w:cs="Century Gothic"/>
          <w:i/>
          <w:iCs/>
          <w:color w:val="000000" w:themeColor="text1"/>
          <w:sz w:val="18"/>
          <w:szCs w:val="18"/>
          <w:lang w:val="es-ES"/>
        </w:rPr>
        <w:t xml:space="preserve">. For </w:t>
      </w:r>
      <w:proofErr w:type="spellStart"/>
      <w:r w:rsidRPr="10C8913A">
        <w:rPr>
          <w:rFonts w:ascii="Century Gothic" w:eastAsia="Century Gothic" w:hAnsi="Century Gothic" w:cs="Century Gothic"/>
          <w:i/>
          <w:iCs/>
          <w:color w:val="000000" w:themeColor="text1"/>
          <w:sz w:val="18"/>
          <w:szCs w:val="18"/>
          <w:lang w:val="es-ES"/>
        </w:rPr>
        <w:t>good</w:t>
      </w:r>
      <w:proofErr w:type="spellEnd"/>
      <w:r w:rsidRPr="10C8913A">
        <w:rPr>
          <w:rFonts w:ascii="Century Gothic" w:eastAsia="Century Gothic" w:hAnsi="Century Gothic" w:cs="Century Gothic"/>
          <w:i/>
          <w:iCs/>
          <w:color w:val="000000" w:themeColor="text1"/>
          <w:sz w:val="18"/>
          <w:szCs w:val="18"/>
          <w:lang w:val="es-ES"/>
        </w:rPr>
        <w:t>.”</w:t>
      </w:r>
      <w:r w:rsidRPr="10C8913A">
        <w:rPr>
          <w:rFonts w:ascii="Century Gothic" w:eastAsia="Century Gothic" w:hAnsi="Century Gothic" w:cs="Century Gothic"/>
          <w:color w:val="000000" w:themeColor="text1"/>
          <w:sz w:val="18"/>
          <w:szCs w:val="18"/>
          <w:lang w:val="es-ES"/>
        </w:rPr>
        <w:t>, estas soluciones mejoran el bienestar y el poder adquisitivo de los profesionales y simplifican la vida de los conductores profesionales. Asimismo, fomentan el acceso a una alimentación más saludable, a productos más respetuosos con el medioambiente y a una movilidad más sostenible. Además, contribuyen a mejorar la atractividad y la eficiencia de las empresas, dinamizando al mismo tiempo el mercado laboral y las economías locales.</w:t>
      </w:r>
    </w:p>
    <w:p w14:paraId="298965CF" w14:textId="0AB0108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3916B0C3" w14:textId="093A653C"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Los 12.000 profesionales de Edenred trabajan cada día para hacer del mundo laboral un ecosistema más conectado, seguro, eficiente y responsable.</w:t>
      </w:r>
    </w:p>
    <w:p w14:paraId="538E00BD" w14:textId="3DBFDFD0"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3E8034FB" w14:textId="11C5D08F"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En 2025, gracias a su plataforma tecnológica única, el Grupo generó un volumen de negocio de 49.000 millones de euros, principalmente a través de aplicaciones móviles, plataformas online y tarjetas.</w:t>
      </w:r>
    </w:p>
    <w:p w14:paraId="7E24578C" w14:textId="7B42CFD6"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031F0800" w14:textId="69BA25A8"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Edenred cotiza en la Bolsa de París (Euronext Paris) y forma parte de los siguientes índices: CAC Next 20, CAC Large 60, Euronext 100, Euronext Tech Leaders, FTSE4Good, DJSI Europe </w:t>
      </w:r>
      <w:proofErr w:type="spellStart"/>
      <w:r w:rsidRPr="10C8913A">
        <w:rPr>
          <w:rFonts w:ascii="Century Gothic" w:eastAsia="Century Gothic" w:hAnsi="Century Gothic" w:cs="Century Gothic"/>
          <w:color w:val="000000" w:themeColor="text1"/>
          <w:sz w:val="18"/>
          <w:szCs w:val="18"/>
          <w:lang w:val="es-ES"/>
        </w:rPr>
        <w:t>Index</w:t>
      </w:r>
      <w:proofErr w:type="spellEnd"/>
      <w:r w:rsidRPr="10C8913A">
        <w:rPr>
          <w:rFonts w:ascii="Century Gothic" w:eastAsia="Century Gothic" w:hAnsi="Century Gothic" w:cs="Century Gothic"/>
          <w:color w:val="000000" w:themeColor="text1"/>
          <w:sz w:val="18"/>
          <w:szCs w:val="18"/>
          <w:lang w:val="es-ES"/>
        </w:rPr>
        <w:t xml:space="preserve"> y DJSI World </w:t>
      </w:r>
      <w:proofErr w:type="spellStart"/>
      <w:r w:rsidRPr="10C8913A">
        <w:rPr>
          <w:rFonts w:ascii="Century Gothic" w:eastAsia="Century Gothic" w:hAnsi="Century Gothic" w:cs="Century Gothic"/>
          <w:color w:val="000000" w:themeColor="text1"/>
          <w:sz w:val="18"/>
          <w:szCs w:val="18"/>
          <w:lang w:val="es-ES"/>
        </w:rPr>
        <w:t>Index</w:t>
      </w:r>
      <w:proofErr w:type="spellEnd"/>
      <w:r w:rsidRPr="10C8913A">
        <w:rPr>
          <w:rFonts w:ascii="Century Gothic" w:eastAsia="Century Gothic" w:hAnsi="Century Gothic" w:cs="Century Gothic"/>
          <w:color w:val="000000" w:themeColor="text1"/>
          <w:sz w:val="18"/>
          <w:szCs w:val="18"/>
          <w:lang w:val="es-ES"/>
        </w:rPr>
        <w:t>.</w:t>
      </w:r>
    </w:p>
    <w:p w14:paraId="66CEAA30" w14:textId="6CA01771"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53DB0FAF" w14:textId="01F91401" w:rsidR="30A0C5C1" w:rsidRDefault="30A0C5C1" w:rsidP="10C8913A">
      <w:pPr>
        <w:spacing w:line="240" w:lineRule="auto"/>
        <w:jc w:val="both"/>
        <w:rPr>
          <w:rFonts w:ascii="Century Gothic" w:eastAsia="Century Gothic" w:hAnsi="Century Gothic" w:cs="Century Gothic"/>
          <w:color w:val="000000" w:themeColor="text1"/>
          <w:sz w:val="16"/>
          <w:szCs w:val="16"/>
          <w:lang w:val="es-ES"/>
        </w:rPr>
      </w:pPr>
      <w:r w:rsidRPr="10C8913A">
        <w:rPr>
          <w:rFonts w:ascii="Century Gothic" w:eastAsia="Century Gothic" w:hAnsi="Century Gothic" w:cs="Century Gothic"/>
          <w:i/>
          <w:iCs/>
          <w:color w:val="000000" w:themeColor="text1"/>
          <w:sz w:val="16"/>
          <w:szCs w:val="16"/>
          <w:lang w:val="es-ES"/>
        </w:rPr>
        <w:t>Los logotipos y otras marcas mencionadas y destacadas en este comunicado de prensa son marcas registradas de Edenred S.E., sus filiales o terceros. No pueden utilizarse con fines comerciales sin el consentimiento previo por escrito de sus propietarios.</w:t>
      </w:r>
    </w:p>
    <w:p w14:paraId="631457E5" w14:textId="732368D7" w:rsidR="10C8913A" w:rsidRDefault="10C8913A" w:rsidP="10C8913A">
      <w:pPr>
        <w:spacing w:line="240" w:lineRule="auto"/>
        <w:jc w:val="both"/>
        <w:rPr>
          <w:rFonts w:ascii="Century Gothic" w:eastAsia="Century Gothic" w:hAnsi="Century Gothic" w:cs="Century Gothic"/>
          <w:i/>
          <w:iCs/>
          <w:color w:val="000000" w:themeColor="text1"/>
          <w:sz w:val="16"/>
          <w:szCs w:val="16"/>
          <w:lang w:val="es-ES"/>
        </w:rPr>
      </w:pPr>
    </w:p>
    <w:p w14:paraId="2ED4618B" w14:textId="77777777" w:rsidR="00D3684E" w:rsidRDefault="00D3684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2C89BAF6" w14:textId="77777777" w:rsidR="00D3684E" w:rsidRPr="00833D4F" w:rsidRDefault="00D3684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34EBC2CB" w14:textId="77777777" w:rsidR="0034131E" w:rsidRDefault="00E660F9">
      <w:pPr>
        <w:spacing w:line="254"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CONTACTO</w:t>
      </w:r>
    </w:p>
    <w:tbl>
      <w:tblPr>
        <w:tblStyle w:val="a"/>
        <w:tblW w:w="9655" w:type="dxa"/>
        <w:tblInd w:w="0" w:type="dxa"/>
        <w:tblLayout w:type="fixed"/>
        <w:tblLook w:val="0000" w:firstRow="0" w:lastRow="0" w:firstColumn="0" w:lastColumn="0" w:noHBand="0" w:noVBand="0"/>
      </w:tblPr>
      <w:tblGrid>
        <w:gridCol w:w="5103"/>
        <w:gridCol w:w="4552"/>
      </w:tblGrid>
      <w:tr w:rsidR="0034131E" w14:paraId="10E87855" w14:textId="77777777">
        <w:trPr>
          <w:trHeight w:val="1725"/>
        </w:trPr>
        <w:tc>
          <w:tcPr>
            <w:tcW w:w="5103" w:type="dxa"/>
            <w:tcMar>
              <w:top w:w="0" w:type="dxa"/>
              <w:left w:w="108" w:type="dxa"/>
              <w:bottom w:w="0" w:type="dxa"/>
              <w:right w:w="108" w:type="dxa"/>
            </w:tcMar>
          </w:tcPr>
          <w:p w14:paraId="539CB8FE" w14:textId="77777777" w:rsidR="0034131E" w:rsidRDefault="0034131E">
            <w:pPr>
              <w:jc w:val="both"/>
              <w:rPr>
                <w:rFonts w:ascii="Century Gothic" w:eastAsia="Century Gothic" w:hAnsi="Century Gothic" w:cs="Century Gothic"/>
                <w:b/>
                <w:color w:val="000000"/>
                <w:sz w:val="16"/>
                <w:szCs w:val="16"/>
              </w:rPr>
            </w:pPr>
          </w:p>
          <w:p w14:paraId="3E71BA8C" w14:textId="77777777" w:rsidR="0034131E" w:rsidRDefault="00E660F9">
            <w:pPr>
              <w:jc w:val="both"/>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Edenred</w:t>
            </w:r>
          </w:p>
          <w:p w14:paraId="2C0E5145" w14:textId="77777777" w:rsidR="0034131E" w:rsidRDefault="00E660F9">
            <w:pPr>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Alejandro Delgado Sánchez</w:t>
            </w:r>
          </w:p>
          <w:p w14:paraId="3C5097B0" w14:textId="77777777" w:rsidR="0034131E" w:rsidRDefault="00E660F9">
            <w:pPr>
              <w:jc w:val="both"/>
            </w:pPr>
            <w:r>
              <w:rPr>
                <w:rFonts w:ascii="Century Gothic" w:eastAsia="Century Gothic" w:hAnsi="Century Gothic" w:cs="Century Gothic"/>
                <w:color w:val="000000"/>
                <w:sz w:val="16"/>
                <w:szCs w:val="16"/>
              </w:rPr>
              <w:t xml:space="preserve">Communications </w:t>
            </w:r>
            <w:proofErr w:type="spellStart"/>
            <w:r>
              <w:rPr>
                <w:rFonts w:ascii="Century Gothic" w:eastAsia="Century Gothic" w:hAnsi="Century Gothic" w:cs="Century Gothic"/>
                <w:color w:val="000000"/>
                <w:sz w:val="16"/>
                <w:szCs w:val="16"/>
              </w:rPr>
              <w:t>Specialist</w:t>
            </w:r>
            <w:proofErr w:type="spellEnd"/>
            <w:r>
              <w:rPr>
                <w:rFonts w:ascii="Century Gothic" w:eastAsia="Century Gothic" w:hAnsi="Century Gothic" w:cs="Century Gothic"/>
                <w:color w:val="000000"/>
                <w:sz w:val="16"/>
                <w:szCs w:val="16"/>
              </w:rPr>
              <w:t xml:space="preserve"> </w:t>
            </w:r>
          </w:p>
          <w:p w14:paraId="7AD809AF" w14:textId="77777777" w:rsidR="0034131E" w:rsidRDefault="0034131E">
            <w:pPr>
              <w:jc w:val="both"/>
            </w:pPr>
            <w:hyperlink r:id="rId9">
              <w:r>
                <w:rPr>
                  <w:rFonts w:ascii="Century Gothic" w:eastAsia="Century Gothic" w:hAnsi="Century Gothic" w:cs="Century Gothic"/>
                  <w:color w:val="000000"/>
                  <w:sz w:val="16"/>
                  <w:szCs w:val="16"/>
                </w:rPr>
                <w:t>alejandro.delgadosanchez@edenred.com</w:t>
              </w:r>
            </w:hyperlink>
          </w:p>
          <w:p w14:paraId="4CF87B1B" w14:textId="77777777" w:rsidR="0034131E" w:rsidRDefault="0034131E">
            <w:pPr>
              <w:spacing w:line="251" w:lineRule="auto"/>
              <w:rPr>
                <w:rFonts w:ascii="Century Gothic" w:eastAsia="Century Gothic" w:hAnsi="Century Gothic" w:cs="Century Gothic"/>
                <w:b/>
                <w:color w:val="000000"/>
                <w:sz w:val="16"/>
                <w:szCs w:val="16"/>
              </w:rPr>
            </w:pPr>
          </w:p>
        </w:tc>
        <w:tc>
          <w:tcPr>
            <w:tcW w:w="4552" w:type="dxa"/>
            <w:tcMar>
              <w:top w:w="0" w:type="dxa"/>
              <w:left w:w="108" w:type="dxa"/>
              <w:bottom w:w="0" w:type="dxa"/>
              <w:right w:w="108" w:type="dxa"/>
            </w:tcMar>
          </w:tcPr>
          <w:p w14:paraId="73979073" w14:textId="77777777" w:rsidR="0034131E" w:rsidRDefault="0034131E">
            <w:pPr>
              <w:spacing w:line="251" w:lineRule="auto"/>
              <w:rPr>
                <w:rFonts w:ascii="Century Gothic" w:eastAsia="Century Gothic" w:hAnsi="Century Gothic" w:cs="Century Gothic"/>
                <w:b/>
                <w:color w:val="000000"/>
                <w:sz w:val="16"/>
                <w:szCs w:val="16"/>
              </w:rPr>
            </w:pPr>
          </w:p>
          <w:p w14:paraId="188D7D39" w14:textId="77777777" w:rsidR="0034131E" w:rsidRDefault="00E660F9">
            <w:pPr>
              <w:spacing w:line="251" w:lineRule="auto"/>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 xml:space="preserve">Newlink Spain </w:t>
            </w:r>
          </w:p>
          <w:p w14:paraId="0709A77C"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Marina Gascón | Patricia Vizcaíno | Sara García</w:t>
            </w:r>
          </w:p>
          <w:p w14:paraId="186B073B"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651 96 34 59</w:t>
            </w:r>
          </w:p>
          <w:p w14:paraId="5D012B56" w14:textId="77777777" w:rsidR="0034131E" w:rsidRDefault="0034131E">
            <w:pPr>
              <w:spacing w:line="251" w:lineRule="auto"/>
            </w:pPr>
            <w:hyperlink r:id="rId10">
              <w:r>
                <w:rPr>
                  <w:rFonts w:ascii="Century Gothic" w:eastAsia="Century Gothic" w:hAnsi="Century Gothic" w:cs="Century Gothic"/>
                  <w:color w:val="000000"/>
                  <w:sz w:val="16"/>
                  <w:szCs w:val="16"/>
                </w:rPr>
                <w:t>equipo.edenred@newlink-group.com</w:t>
              </w:r>
            </w:hyperlink>
          </w:p>
        </w:tc>
      </w:tr>
    </w:tbl>
    <w:p w14:paraId="62FFDE23" w14:textId="77777777" w:rsidR="0034131E" w:rsidRDefault="0034131E">
      <w:pPr>
        <w:tabs>
          <w:tab w:val="left" w:pos="2760"/>
        </w:tabs>
      </w:pPr>
    </w:p>
    <w:p w14:paraId="2B9A036F" w14:textId="77777777" w:rsidR="006877BB" w:rsidRDefault="006877BB">
      <w:pPr>
        <w:tabs>
          <w:tab w:val="left" w:pos="2760"/>
        </w:tabs>
      </w:pPr>
    </w:p>
    <w:p w14:paraId="5079963F" w14:textId="77777777" w:rsidR="006877BB" w:rsidRPr="006877BB" w:rsidRDefault="006877BB" w:rsidP="006877BB">
      <w:pPr>
        <w:tabs>
          <w:tab w:val="left" w:pos="2760"/>
        </w:tabs>
        <w:rPr>
          <w:rFonts w:ascii="Century Gothic" w:hAnsi="Century Gothic"/>
          <w:b/>
          <w:bCs/>
          <w:color w:val="auto"/>
          <w:sz w:val="24"/>
          <w:szCs w:val="24"/>
          <w:lang w:val="es-ES"/>
        </w:rPr>
      </w:pPr>
      <w:r w:rsidRPr="006877BB">
        <w:rPr>
          <w:rFonts w:ascii="Century Gothic" w:hAnsi="Century Gothic"/>
          <w:b/>
          <w:bCs/>
          <w:color w:val="auto"/>
          <w:sz w:val="24"/>
          <w:szCs w:val="24"/>
          <w:lang w:val="es-ES"/>
        </w:rPr>
        <w:t>PUBLICACIONES RELACIONADAS</w:t>
      </w:r>
    </w:p>
    <w:p w14:paraId="6385E01A" w14:textId="77777777" w:rsidR="006877BB" w:rsidRPr="006877BB" w:rsidRDefault="006877BB" w:rsidP="006877BB">
      <w:pPr>
        <w:tabs>
          <w:tab w:val="left" w:pos="2760"/>
        </w:tabs>
        <w:rPr>
          <w:rFonts w:ascii="Century Gothic" w:hAnsi="Century Gothic"/>
          <w:color w:val="auto"/>
          <w:lang w:val="es-ES"/>
        </w:rPr>
      </w:pPr>
    </w:p>
    <w:p w14:paraId="21F330E5" w14:textId="77777777" w:rsidR="006877BB" w:rsidRPr="006D40B0" w:rsidRDefault="006877BB" w:rsidP="006877BB">
      <w:pPr>
        <w:tabs>
          <w:tab w:val="left" w:pos="2760"/>
        </w:tabs>
        <w:rPr>
          <w:rFonts w:ascii="Century Gothic" w:hAnsi="Century Gothic"/>
          <w:color w:val="auto"/>
          <w:lang w:val="es-ES"/>
        </w:rPr>
      </w:pPr>
      <w:r w:rsidRPr="006D40B0">
        <w:rPr>
          <w:rFonts w:ascii="Century Gothic" w:hAnsi="Century Gothic"/>
          <w:color w:val="auto"/>
          <w:lang w:val="es-ES"/>
        </w:rPr>
        <w:t>Si deseas ampliar información sobre este comunicado, puedes consultar las siguientes publicaciones:</w:t>
      </w:r>
    </w:p>
    <w:p w14:paraId="09A786CE" w14:textId="77777777" w:rsidR="006877BB" w:rsidRPr="004B6B01" w:rsidRDefault="006877BB" w:rsidP="006877BB">
      <w:pPr>
        <w:tabs>
          <w:tab w:val="left" w:pos="2760"/>
        </w:tabs>
        <w:rPr>
          <w:rFonts w:ascii="Century Gothic" w:hAnsi="Century Gothic"/>
          <w:color w:val="auto"/>
          <w:lang w:val="es-ES"/>
        </w:rPr>
      </w:pPr>
    </w:p>
    <w:p w14:paraId="5A6BE6D9" w14:textId="272C568F" w:rsidR="00392B9E" w:rsidRPr="007B2A51" w:rsidRDefault="006877BB" w:rsidP="00392B9E">
      <w:pPr>
        <w:numPr>
          <w:ilvl w:val="0"/>
          <w:numId w:val="17"/>
        </w:numPr>
        <w:tabs>
          <w:tab w:val="left" w:pos="2760"/>
        </w:tabs>
        <w:rPr>
          <w:rFonts w:ascii="Century Gothic" w:hAnsi="Century Gothic"/>
          <w:b/>
          <w:bCs/>
          <w:color w:val="auto"/>
          <w:lang w:val="es-ES"/>
        </w:rPr>
      </w:pPr>
      <w:r w:rsidRPr="007B2A51">
        <w:rPr>
          <w:rFonts w:ascii="Century Gothic" w:hAnsi="Century Gothic"/>
          <w:b/>
          <w:bCs/>
          <w:color w:val="auto"/>
          <w:lang w:val="es-ES"/>
        </w:rPr>
        <w:t>A</w:t>
      </w:r>
      <w:r w:rsidR="00392B9E" w:rsidRPr="007B2A51">
        <w:rPr>
          <w:rFonts w:ascii="Century Gothic" w:hAnsi="Century Gothic"/>
          <w:b/>
          <w:bCs/>
          <w:color w:val="auto"/>
          <w:lang w:val="es-ES"/>
        </w:rPr>
        <w:t xml:space="preserve">lto Directivo: </w:t>
      </w:r>
      <w:hyperlink r:id="rId11" w:history="1">
        <w:hyperlink r:id="rId12" w:history="1">
          <w:r w:rsidR="00392B9E" w:rsidRPr="007B2A51">
            <w:rPr>
              <w:rStyle w:val="Hipervnculo"/>
              <w:rFonts w:ascii="Century Gothic" w:hAnsi="Century Gothic"/>
              <w:lang w:val="es-ES"/>
            </w:rPr>
            <w:t>La flexibilidad laboral no llega al verano ni a la mitad de la población activa</w:t>
          </w:r>
        </w:hyperlink>
      </w:hyperlink>
      <w:r w:rsidR="009A38FC" w:rsidRPr="007B2A51">
        <w:rPr>
          <w:rFonts w:ascii="Century Gothic" w:hAnsi="Century Gothic"/>
          <w:color w:val="auto"/>
          <w:lang w:val="es-ES"/>
        </w:rPr>
        <w:t>.</w:t>
      </w:r>
    </w:p>
    <w:p w14:paraId="7CEB2296" w14:textId="77777777" w:rsidR="00674854" w:rsidRPr="007B2A51" w:rsidRDefault="00674854" w:rsidP="00674854">
      <w:pPr>
        <w:pStyle w:val="Prrafodelista"/>
        <w:numPr>
          <w:ilvl w:val="0"/>
          <w:numId w:val="17"/>
        </w:numPr>
        <w:suppressAutoHyphens w:val="0"/>
        <w:spacing w:line="240" w:lineRule="auto"/>
        <w:contextualSpacing w:val="0"/>
        <w:rPr>
          <w:rFonts w:ascii="Century Gothic" w:eastAsia="Times New Roman" w:hAnsi="Century Gothic" w:cs="Calibri"/>
          <w:u w:val="single"/>
          <w:lang w:val="es-ES"/>
        </w:rPr>
      </w:pPr>
      <w:r w:rsidRPr="007B2A51">
        <w:rPr>
          <w:rFonts w:ascii="Century Gothic" w:eastAsia="Times New Roman" w:hAnsi="Century Gothic" w:cs="Calibri"/>
          <w:b/>
          <w:bCs/>
          <w:color w:val="000000"/>
          <w:lang w:val="es-ES"/>
        </w:rPr>
        <w:t xml:space="preserve">Cultura Emprende. </w:t>
      </w:r>
      <w:hyperlink r:id="rId13" w:history="1">
        <w:r w:rsidRPr="007B2A51">
          <w:rPr>
            <w:rStyle w:val="Hipervnculo"/>
            <w:rFonts w:ascii="Century Gothic" w:eastAsia="Times New Roman" w:hAnsi="Century Gothic" w:cs="Calibri"/>
            <w:lang w:val="es-ES"/>
          </w:rPr>
          <w:t xml:space="preserve">Casi </w:t>
        </w:r>
        <w:r w:rsidRPr="007B2A51">
          <w:rPr>
            <w:rStyle w:val="Hipervnculo"/>
            <w:rFonts w:ascii="Century Gothic" w:eastAsia="Times New Roman" w:hAnsi="Century Gothic" w:cs="Calibri"/>
            <w:lang w:val="es-ES"/>
          </w:rPr>
          <w:t>l</w:t>
        </w:r>
        <w:r w:rsidRPr="007B2A51">
          <w:rPr>
            <w:rStyle w:val="Hipervnculo"/>
            <w:rFonts w:ascii="Century Gothic" w:eastAsia="Times New Roman" w:hAnsi="Century Gothic" w:cs="Calibri"/>
            <w:lang w:val="es-ES"/>
          </w:rPr>
          <w:t>a mitad de los españoles llega al verano sin flexibilidad laboral</w:t>
        </w:r>
      </w:hyperlink>
    </w:p>
    <w:p w14:paraId="0355D938" w14:textId="77777777" w:rsidR="009A3A37" w:rsidRPr="007B2A51" w:rsidRDefault="009A3A37" w:rsidP="009A3A37">
      <w:pPr>
        <w:pStyle w:val="Prrafodelista"/>
        <w:numPr>
          <w:ilvl w:val="0"/>
          <w:numId w:val="17"/>
        </w:numPr>
        <w:suppressAutoHyphens w:val="0"/>
        <w:spacing w:line="240" w:lineRule="auto"/>
        <w:contextualSpacing w:val="0"/>
        <w:rPr>
          <w:rFonts w:ascii="Century Gothic" w:eastAsia="Times New Roman" w:hAnsi="Century Gothic" w:cs="Calibri"/>
          <w:lang w:val="es-ES" w:eastAsia="zh-TW"/>
        </w:rPr>
      </w:pPr>
      <w:r w:rsidRPr="007B2A51">
        <w:rPr>
          <w:rFonts w:ascii="Century Gothic" w:eastAsia="Times New Roman" w:hAnsi="Century Gothic" w:cs="Calibri"/>
          <w:b/>
          <w:bCs/>
          <w:color w:val="000000"/>
          <w:lang w:val="es-ES"/>
        </w:rPr>
        <w:t>Factor Humano.</w:t>
      </w:r>
      <w:r w:rsidRPr="007B2A51">
        <w:rPr>
          <w:rFonts w:ascii="Century Gothic" w:eastAsia="Times New Roman" w:hAnsi="Century Gothic" w:cs="Calibri"/>
          <w:color w:val="000000"/>
          <w:lang w:val="es-ES"/>
        </w:rPr>
        <w:t xml:space="preserve"> </w:t>
      </w:r>
      <w:hyperlink r:id="rId14" w:history="1">
        <w:r w:rsidRPr="007B2A51">
          <w:rPr>
            <w:rStyle w:val="Hipervnculo"/>
            <w:rFonts w:ascii="Century Gothic" w:eastAsia="Times New Roman" w:hAnsi="Century Gothic" w:cs="Calibri"/>
            <w:lang w:val="es-ES"/>
          </w:rPr>
          <w:t>Casi la mitad de los profesionales afronta el verano con poca o ninguna flexibilidad lab</w:t>
        </w:r>
        <w:r w:rsidRPr="007B2A51">
          <w:rPr>
            <w:rStyle w:val="Hipervnculo"/>
            <w:rFonts w:ascii="Century Gothic" w:eastAsia="Times New Roman" w:hAnsi="Century Gothic" w:cs="Calibri"/>
            <w:lang w:val="es-ES"/>
          </w:rPr>
          <w:t>o</w:t>
        </w:r>
        <w:r w:rsidRPr="007B2A51">
          <w:rPr>
            <w:rStyle w:val="Hipervnculo"/>
            <w:rFonts w:ascii="Century Gothic" w:eastAsia="Times New Roman" w:hAnsi="Century Gothic" w:cs="Calibri"/>
            <w:lang w:val="es-ES"/>
          </w:rPr>
          <w:t>ral</w:t>
        </w:r>
      </w:hyperlink>
    </w:p>
    <w:p w14:paraId="318DE98D" w14:textId="77777777" w:rsidR="009A38FC" w:rsidRPr="00392B9E" w:rsidRDefault="009A38FC" w:rsidP="009A3A37">
      <w:pPr>
        <w:tabs>
          <w:tab w:val="left" w:pos="2760"/>
        </w:tabs>
        <w:ind w:left="1068"/>
        <w:rPr>
          <w:rFonts w:ascii="Century Gothic" w:hAnsi="Century Gothic"/>
          <w:b/>
          <w:bCs/>
          <w:color w:val="auto"/>
          <w:lang w:val="es-ES"/>
        </w:rPr>
      </w:pPr>
    </w:p>
    <w:p w14:paraId="7FED5F9A" w14:textId="77777777" w:rsidR="006877BB" w:rsidRPr="006877BB" w:rsidRDefault="006877BB">
      <w:pPr>
        <w:tabs>
          <w:tab w:val="left" w:pos="2760"/>
        </w:tabs>
        <w:rPr>
          <w:lang w:val="es-ES"/>
        </w:rPr>
      </w:pPr>
    </w:p>
    <w:sectPr w:rsidR="006877BB" w:rsidRPr="006877BB">
      <w:footerReference w:type="default" r:id="rId15"/>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1FC8" w14:textId="77777777" w:rsidR="00152395" w:rsidRDefault="00152395">
      <w:pPr>
        <w:spacing w:line="240" w:lineRule="auto"/>
      </w:pPr>
      <w:r>
        <w:separator/>
      </w:r>
    </w:p>
  </w:endnote>
  <w:endnote w:type="continuationSeparator" w:id="0">
    <w:p w14:paraId="7EF7A862" w14:textId="77777777" w:rsidR="00152395" w:rsidRDefault="001523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1" w:fontKey="{740D2589-DD88-4E44-9B31-55A8959CE59B}"/>
    <w:embedBold r:id="rId2" w:fontKey="{8EFFC7E0-9707-4F0A-8834-961A1CC9E95F}"/>
    <w:embedItalic r:id="rId3" w:fontKey="{5B2C3164-6CCE-45E5-BD84-E409604157DF}"/>
    <w:embedBoldItalic r:id="rId4" w:fontKey="{EFDCBAA3-CE47-4A4B-8AF2-51C95AC0B498}"/>
  </w:font>
  <w:font w:name="Tahoma">
    <w:panose1 w:val="020B0604030504040204"/>
    <w:charset w:val="00"/>
    <w:family w:val="swiss"/>
    <w:pitch w:val="variable"/>
    <w:sig w:usb0="E1002EFF" w:usb1="C000605B" w:usb2="00000029" w:usb3="00000000" w:csb0="000101FF" w:csb1="00000000"/>
    <w:embedRegular r:id="rId5" w:fontKey="{B9DA2892-C2E9-4830-91CD-39C13B77A4C4}"/>
  </w:font>
  <w:font w:name="Calibri">
    <w:panose1 w:val="020F0502020204030204"/>
    <w:charset w:val="00"/>
    <w:family w:val="swiss"/>
    <w:pitch w:val="variable"/>
    <w:sig w:usb0="E4002EFF" w:usb1="C200247B" w:usb2="00000009" w:usb3="00000000" w:csb0="000001FF" w:csb1="00000000"/>
    <w:embedRegular r:id="rId6" w:fontKey="{5DD67828-D918-4199-B7D7-40A3F4EBA7C5}"/>
    <w:embedBold r:id="rId7" w:fontKey="{03F013F0-8FCA-4136-BF10-CA7E0C40ABFE}"/>
  </w:font>
  <w:font w:name="Georgia">
    <w:panose1 w:val="02040502050405020303"/>
    <w:charset w:val="00"/>
    <w:family w:val="roman"/>
    <w:pitch w:val="variable"/>
    <w:sig w:usb0="00000287" w:usb1="00000000" w:usb2="00000000" w:usb3="00000000" w:csb0="0000009F" w:csb1="00000000"/>
    <w:embedRegular r:id="rId8" w:fontKey="{C1CBDAD9-4CB9-4FD2-B04F-05C890537480}"/>
    <w:embedItalic r:id="rId9" w:fontKey="{D089F47C-613F-44A6-BECA-C20CF8DF077E}"/>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embedRegular r:id="rId10" w:fontKey="{13D8C1F9-51C9-42CE-A828-0A631E9A2249}"/>
  </w:font>
  <w:font w:name="Aptos">
    <w:charset w:val="00"/>
    <w:family w:val="swiss"/>
    <w:pitch w:val="variable"/>
    <w:sig w:usb0="20000287" w:usb1="00000003" w:usb2="00000000" w:usb3="00000000" w:csb0="0000019F" w:csb1="00000000"/>
    <w:embedRegular r:id="rId11" w:fontKey="{E35800C0-5CC5-4AF4-B138-DB5A1F5315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5193" w14:textId="77777777" w:rsidR="0034131E" w:rsidRDefault="00E660F9">
    <w:pPr>
      <w:pBdr>
        <w:top w:val="nil"/>
        <w:left w:val="nil"/>
        <w:bottom w:val="nil"/>
        <w:right w:val="nil"/>
        <w:between w:val="nil"/>
      </w:pBdr>
      <w:tabs>
        <w:tab w:val="center" w:pos="4536"/>
        <w:tab w:val="right" w:pos="9072"/>
      </w:tabs>
      <w:spacing w:line="240" w:lineRule="auto"/>
    </w:pPr>
    <w:r>
      <w:rPr>
        <w:noProof/>
      </w:rPr>
      <w:drawing>
        <wp:anchor distT="0" distB="0" distL="114300" distR="114300" simplePos="0" relativeHeight="251658240" behindDoc="0" locked="0" layoutInCell="1" hidden="0" allowOverlap="1" wp14:anchorId="3B5CB540" wp14:editId="6EA21FCE">
          <wp:simplePos x="0" y="0"/>
          <wp:positionH relativeFrom="column">
            <wp:posOffset>1</wp:posOffset>
          </wp:positionH>
          <wp:positionV relativeFrom="paragraph">
            <wp:posOffset>0</wp:posOffset>
          </wp:positionV>
          <wp:extent cx="525697" cy="337303"/>
          <wp:effectExtent l="0" t="0" r="0" b="0"/>
          <wp:wrapNone/>
          <wp:docPr id="827937672"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a:stretch>
                    <a:fillRect/>
                  </a:stretch>
                </pic:blipFill>
                <pic:spPr>
                  <a:xfrm>
                    <a:off x="0" y="0"/>
                    <a:ext cx="525697" cy="3373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2EB4" w14:textId="77777777" w:rsidR="00152395" w:rsidRDefault="00152395">
      <w:pPr>
        <w:spacing w:line="240" w:lineRule="auto"/>
      </w:pPr>
      <w:r>
        <w:separator/>
      </w:r>
    </w:p>
  </w:footnote>
  <w:footnote w:type="continuationSeparator" w:id="0">
    <w:p w14:paraId="0357F0C1" w14:textId="77777777" w:rsidR="00152395" w:rsidRDefault="001523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738"/>
    <w:multiLevelType w:val="multilevel"/>
    <w:tmpl w:val="FED4A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44AC5"/>
    <w:multiLevelType w:val="multilevel"/>
    <w:tmpl w:val="640A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54FB0"/>
    <w:multiLevelType w:val="multilevel"/>
    <w:tmpl w:val="99C81776"/>
    <w:lvl w:ilvl="0">
      <w:start w:val="1"/>
      <w:numFmt w:val="decimal"/>
      <w:pStyle w:val="Box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D352C24"/>
    <w:multiLevelType w:val="multilevel"/>
    <w:tmpl w:val="30F4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008D1"/>
    <w:multiLevelType w:val="multilevel"/>
    <w:tmpl w:val="F172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642B9"/>
    <w:multiLevelType w:val="hybridMultilevel"/>
    <w:tmpl w:val="DB5004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55B5FD5"/>
    <w:multiLevelType w:val="multilevel"/>
    <w:tmpl w:val="8FEE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866DFC"/>
    <w:multiLevelType w:val="multilevel"/>
    <w:tmpl w:val="7BEEF018"/>
    <w:lvl w:ilvl="0">
      <w:start w:val="1"/>
      <w:numFmt w:val="bullet"/>
      <w:pStyle w:val="BulletLead-in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354B56"/>
    <w:multiLevelType w:val="hybridMultilevel"/>
    <w:tmpl w:val="C8A046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364B1BCF"/>
    <w:multiLevelType w:val="hybridMultilevel"/>
    <w:tmpl w:val="2F66B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89529C"/>
    <w:multiLevelType w:val="hybridMultilevel"/>
    <w:tmpl w:val="D3C263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40B21CF7"/>
    <w:multiLevelType w:val="multilevel"/>
    <w:tmpl w:val="E9B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852E3A"/>
    <w:multiLevelType w:val="hybridMultilevel"/>
    <w:tmpl w:val="D228D1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576F7F25"/>
    <w:multiLevelType w:val="multilevel"/>
    <w:tmpl w:val="21AE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D81B8E"/>
    <w:multiLevelType w:val="hybridMultilevel"/>
    <w:tmpl w:val="7722DF90"/>
    <w:lvl w:ilvl="0" w:tplc="AC9EDCC8">
      <w:start w:val="1"/>
      <w:numFmt w:val="bullet"/>
      <w:lvlText w:val=""/>
      <w:lvlJc w:val="left"/>
      <w:pPr>
        <w:ind w:left="1068" w:hanging="360"/>
      </w:pPr>
      <w:rPr>
        <w:rFonts w:ascii="Symbol" w:hAnsi="Symbol" w:hint="default"/>
        <w:color w:val="000000"/>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5" w15:restartNumberingAfterBreak="0">
    <w:nsid w:val="73CB07B8"/>
    <w:multiLevelType w:val="multilevel"/>
    <w:tmpl w:val="B702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246018">
    <w:abstractNumId w:val="7"/>
  </w:num>
  <w:num w:numId="2" w16cid:durableId="620915189">
    <w:abstractNumId w:val="2"/>
  </w:num>
  <w:num w:numId="3" w16cid:durableId="950282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3698190">
    <w:abstractNumId w:val="1"/>
  </w:num>
  <w:num w:numId="5" w16cid:durableId="1620795933">
    <w:abstractNumId w:val="11"/>
  </w:num>
  <w:num w:numId="6" w16cid:durableId="615062920">
    <w:abstractNumId w:val="13"/>
  </w:num>
  <w:num w:numId="7" w16cid:durableId="1644777061">
    <w:abstractNumId w:val="10"/>
  </w:num>
  <w:num w:numId="8" w16cid:durableId="948393040">
    <w:abstractNumId w:val="9"/>
  </w:num>
  <w:num w:numId="9" w16cid:durableId="1445342659">
    <w:abstractNumId w:val="12"/>
  </w:num>
  <w:num w:numId="10" w16cid:durableId="1104036525">
    <w:abstractNumId w:val="6"/>
  </w:num>
  <w:num w:numId="11" w16cid:durableId="645665303">
    <w:abstractNumId w:val="8"/>
  </w:num>
  <w:num w:numId="12" w16cid:durableId="739714433">
    <w:abstractNumId w:val="15"/>
  </w:num>
  <w:num w:numId="13" w16cid:durableId="666831364">
    <w:abstractNumId w:val="3"/>
  </w:num>
  <w:num w:numId="14" w16cid:durableId="1187520415">
    <w:abstractNumId w:val="0"/>
  </w:num>
  <w:num w:numId="15" w16cid:durableId="832381434">
    <w:abstractNumId w:val="4"/>
  </w:num>
  <w:num w:numId="16" w16cid:durableId="2114398711">
    <w:abstractNumId w:val="5"/>
  </w:num>
  <w:num w:numId="17" w16cid:durableId="528957015">
    <w:abstractNumId w:val="14"/>
  </w:num>
  <w:num w:numId="18" w16cid:durableId="1068576279">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31E"/>
    <w:rsid w:val="00001131"/>
    <w:rsid w:val="00002CFA"/>
    <w:rsid w:val="00004122"/>
    <w:rsid w:val="000068E3"/>
    <w:rsid w:val="00007D70"/>
    <w:rsid w:val="00011EFF"/>
    <w:rsid w:val="00013A30"/>
    <w:rsid w:val="00021F2B"/>
    <w:rsid w:val="00022255"/>
    <w:rsid w:val="00025F65"/>
    <w:rsid w:val="00026093"/>
    <w:rsid w:val="00026B5B"/>
    <w:rsid w:val="00026E3C"/>
    <w:rsid w:val="000279E7"/>
    <w:rsid w:val="00027CCD"/>
    <w:rsid w:val="000323C6"/>
    <w:rsid w:val="000326C2"/>
    <w:rsid w:val="00032F52"/>
    <w:rsid w:val="00035309"/>
    <w:rsid w:val="0003750C"/>
    <w:rsid w:val="00041721"/>
    <w:rsid w:val="000417DA"/>
    <w:rsid w:val="000437CF"/>
    <w:rsid w:val="0004474C"/>
    <w:rsid w:val="00044A95"/>
    <w:rsid w:val="00044DD4"/>
    <w:rsid w:val="000500F1"/>
    <w:rsid w:val="000512F0"/>
    <w:rsid w:val="00053526"/>
    <w:rsid w:val="0005490B"/>
    <w:rsid w:val="00054F03"/>
    <w:rsid w:val="000554AF"/>
    <w:rsid w:val="0005556B"/>
    <w:rsid w:val="00055882"/>
    <w:rsid w:val="00063563"/>
    <w:rsid w:val="00063694"/>
    <w:rsid w:val="00071659"/>
    <w:rsid w:val="0007216B"/>
    <w:rsid w:val="00072CD0"/>
    <w:rsid w:val="000806C9"/>
    <w:rsid w:val="000869AD"/>
    <w:rsid w:val="000873EB"/>
    <w:rsid w:val="00087D4A"/>
    <w:rsid w:val="0009094B"/>
    <w:rsid w:val="000909E3"/>
    <w:rsid w:val="00092205"/>
    <w:rsid w:val="000960A1"/>
    <w:rsid w:val="000A4CBF"/>
    <w:rsid w:val="000A4CC7"/>
    <w:rsid w:val="000A6E3C"/>
    <w:rsid w:val="000A736E"/>
    <w:rsid w:val="000B15B7"/>
    <w:rsid w:val="000B15CF"/>
    <w:rsid w:val="000B1F8B"/>
    <w:rsid w:val="000B4E8D"/>
    <w:rsid w:val="000B6647"/>
    <w:rsid w:val="000B6D52"/>
    <w:rsid w:val="000C2BD5"/>
    <w:rsid w:val="000C568E"/>
    <w:rsid w:val="000D11DA"/>
    <w:rsid w:val="000D2D15"/>
    <w:rsid w:val="000D44F0"/>
    <w:rsid w:val="000D608E"/>
    <w:rsid w:val="000D7301"/>
    <w:rsid w:val="000E5BEA"/>
    <w:rsid w:val="000F196E"/>
    <w:rsid w:val="000F4162"/>
    <w:rsid w:val="000F43C7"/>
    <w:rsid w:val="000F5FA0"/>
    <w:rsid w:val="000F62E7"/>
    <w:rsid w:val="000F7F7F"/>
    <w:rsid w:val="00100463"/>
    <w:rsid w:val="00102E83"/>
    <w:rsid w:val="00103781"/>
    <w:rsid w:val="00106125"/>
    <w:rsid w:val="00113CAC"/>
    <w:rsid w:val="00121CF0"/>
    <w:rsid w:val="00122617"/>
    <w:rsid w:val="00124824"/>
    <w:rsid w:val="00125440"/>
    <w:rsid w:val="00125656"/>
    <w:rsid w:val="0013109D"/>
    <w:rsid w:val="001325F8"/>
    <w:rsid w:val="00133556"/>
    <w:rsid w:val="001357AA"/>
    <w:rsid w:val="001361C7"/>
    <w:rsid w:val="001368E6"/>
    <w:rsid w:val="001370DF"/>
    <w:rsid w:val="00144436"/>
    <w:rsid w:val="00145926"/>
    <w:rsid w:val="001504BA"/>
    <w:rsid w:val="001509D5"/>
    <w:rsid w:val="00150B39"/>
    <w:rsid w:val="00150F7B"/>
    <w:rsid w:val="00152395"/>
    <w:rsid w:val="001533EB"/>
    <w:rsid w:val="001555F2"/>
    <w:rsid w:val="00157FB3"/>
    <w:rsid w:val="00170411"/>
    <w:rsid w:val="00170935"/>
    <w:rsid w:val="0017228E"/>
    <w:rsid w:val="001724EC"/>
    <w:rsid w:val="0017574A"/>
    <w:rsid w:val="001832D9"/>
    <w:rsid w:val="001834C2"/>
    <w:rsid w:val="0018403E"/>
    <w:rsid w:val="0018413A"/>
    <w:rsid w:val="00186290"/>
    <w:rsid w:val="00187A61"/>
    <w:rsid w:val="0019048A"/>
    <w:rsid w:val="0019097E"/>
    <w:rsid w:val="0019231F"/>
    <w:rsid w:val="00196D68"/>
    <w:rsid w:val="00197C5A"/>
    <w:rsid w:val="001A021A"/>
    <w:rsid w:val="001A3723"/>
    <w:rsid w:val="001A5847"/>
    <w:rsid w:val="001B1E38"/>
    <w:rsid w:val="001B32E5"/>
    <w:rsid w:val="001B3304"/>
    <w:rsid w:val="001B6A92"/>
    <w:rsid w:val="001B6F44"/>
    <w:rsid w:val="001C4938"/>
    <w:rsid w:val="001C5826"/>
    <w:rsid w:val="001C6CEF"/>
    <w:rsid w:val="001D2A91"/>
    <w:rsid w:val="001D65D3"/>
    <w:rsid w:val="001D6EE6"/>
    <w:rsid w:val="001E1DC3"/>
    <w:rsid w:val="001E738B"/>
    <w:rsid w:val="001F077B"/>
    <w:rsid w:val="001F472E"/>
    <w:rsid w:val="001F4EB2"/>
    <w:rsid w:val="001F79A2"/>
    <w:rsid w:val="002023FC"/>
    <w:rsid w:val="002029B0"/>
    <w:rsid w:val="00202F85"/>
    <w:rsid w:val="00203ED1"/>
    <w:rsid w:val="00205DE2"/>
    <w:rsid w:val="00207926"/>
    <w:rsid w:val="002101D2"/>
    <w:rsid w:val="0021067C"/>
    <w:rsid w:val="00215502"/>
    <w:rsid w:val="00215938"/>
    <w:rsid w:val="00220411"/>
    <w:rsid w:val="002217FD"/>
    <w:rsid w:val="00225B22"/>
    <w:rsid w:val="00226610"/>
    <w:rsid w:val="00230660"/>
    <w:rsid w:val="00234254"/>
    <w:rsid w:val="0023680A"/>
    <w:rsid w:val="00240BFF"/>
    <w:rsid w:val="00240C55"/>
    <w:rsid w:val="0024626C"/>
    <w:rsid w:val="002500B4"/>
    <w:rsid w:val="00251D9A"/>
    <w:rsid w:val="00251F81"/>
    <w:rsid w:val="002636E6"/>
    <w:rsid w:val="0026388D"/>
    <w:rsid w:val="002665DB"/>
    <w:rsid w:val="00266DE6"/>
    <w:rsid w:val="002700CD"/>
    <w:rsid w:val="00270612"/>
    <w:rsid w:val="00275FAA"/>
    <w:rsid w:val="00292C9D"/>
    <w:rsid w:val="00293C61"/>
    <w:rsid w:val="0029479B"/>
    <w:rsid w:val="002A08A5"/>
    <w:rsid w:val="002A1004"/>
    <w:rsid w:val="002A459E"/>
    <w:rsid w:val="002A58F6"/>
    <w:rsid w:val="002A5E62"/>
    <w:rsid w:val="002AC8F9"/>
    <w:rsid w:val="002B2563"/>
    <w:rsid w:val="002B2BF0"/>
    <w:rsid w:val="002C3298"/>
    <w:rsid w:val="002D0232"/>
    <w:rsid w:val="002D4BFB"/>
    <w:rsid w:val="002D5F4A"/>
    <w:rsid w:val="002E0548"/>
    <w:rsid w:val="002E2116"/>
    <w:rsid w:val="002E4084"/>
    <w:rsid w:val="002E45C6"/>
    <w:rsid w:val="002F0AF3"/>
    <w:rsid w:val="002F3F7E"/>
    <w:rsid w:val="002F567A"/>
    <w:rsid w:val="002F61A3"/>
    <w:rsid w:val="002F678E"/>
    <w:rsid w:val="002F6B0B"/>
    <w:rsid w:val="00300E23"/>
    <w:rsid w:val="00302781"/>
    <w:rsid w:val="00302CB2"/>
    <w:rsid w:val="00306C54"/>
    <w:rsid w:val="00306D84"/>
    <w:rsid w:val="00312F48"/>
    <w:rsid w:val="003132E9"/>
    <w:rsid w:val="00316012"/>
    <w:rsid w:val="0032235E"/>
    <w:rsid w:val="00323902"/>
    <w:rsid w:val="00333501"/>
    <w:rsid w:val="00334C1D"/>
    <w:rsid w:val="00336735"/>
    <w:rsid w:val="0034131E"/>
    <w:rsid w:val="00346AD9"/>
    <w:rsid w:val="003470F9"/>
    <w:rsid w:val="00347207"/>
    <w:rsid w:val="00350B2A"/>
    <w:rsid w:val="00352B26"/>
    <w:rsid w:val="003530F0"/>
    <w:rsid w:val="00355793"/>
    <w:rsid w:val="00356430"/>
    <w:rsid w:val="0035750B"/>
    <w:rsid w:val="00357DC5"/>
    <w:rsid w:val="0036034E"/>
    <w:rsid w:val="003635D0"/>
    <w:rsid w:val="00365625"/>
    <w:rsid w:val="00366F6B"/>
    <w:rsid w:val="00372049"/>
    <w:rsid w:val="00372AD6"/>
    <w:rsid w:val="00372C87"/>
    <w:rsid w:val="00373468"/>
    <w:rsid w:val="003738A9"/>
    <w:rsid w:val="003743D2"/>
    <w:rsid w:val="00381915"/>
    <w:rsid w:val="00382F06"/>
    <w:rsid w:val="003845A2"/>
    <w:rsid w:val="003871DC"/>
    <w:rsid w:val="00392B9E"/>
    <w:rsid w:val="0039534F"/>
    <w:rsid w:val="003A15A6"/>
    <w:rsid w:val="003A161C"/>
    <w:rsid w:val="003A6ABA"/>
    <w:rsid w:val="003B08CC"/>
    <w:rsid w:val="003B1B90"/>
    <w:rsid w:val="003B3C5A"/>
    <w:rsid w:val="003B4902"/>
    <w:rsid w:val="003B6073"/>
    <w:rsid w:val="003C0022"/>
    <w:rsid w:val="003C379A"/>
    <w:rsid w:val="003C436C"/>
    <w:rsid w:val="003D2293"/>
    <w:rsid w:val="003D3B1C"/>
    <w:rsid w:val="003D5524"/>
    <w:rsid w:val="003E219E"/>
    <w:rsid w:val="003E22C4"/>
    <w:rsid w:val="003E2FB8"/>
    <w:rsid w:val="003E6181"/>
    <w:rsid w:val="003E7120"/>
    <w:rsid w:val="003F0F9B"/>
    <w:rsid w:val="003F3ADE"/>
    <w:rsid w:val="003F772C"/>
    <w:rsid w:val="00405466"/>
    <w:rsid w:val="00406D45"/>
    <w:rsid w:val="0040794F"/>
    <w:rsid w:val="0041414D"/>
    <w:rsid w:val="00415E67"/>
    <w:rsid w:val="004162FF"/>
    <w:rsid w:val="00416B5D"/>
    <w:rsid w:val="00417C1A"/>
    <w:rsid w:val="004238E3"/>
    <w:rsid w:val="00426C72"/>
    <w:rsid w:val="00427E2A"/>
    <w:rsid w:val="00440013"/>
    <w:rsid w:val="004402DC"/>
    <w:rsid w:val="00443A93"/>
    <w:rsid w:val="00447E8B"/>
    <w:rsid w:val="0045258F"/>
    <w:rsid w:val="0045496E"/>
    <w:rsid w:val="0045562B"/>
    <w:rsid w:val="00457E63"/>
    <w:rsid w:val="00461C46"/>
    <w:rsid w:val="00463785"/>
    <w:rsid w:val="004659A4"/>
    <w:rsid w:val="004667CC"/>
    <w:rsid w:val="00472494"/>
    <w:rsid w:val="0047282A"/>
    <w:rsid w:val="00473102"/>
    <w:rsid w:val="00475FD5"/>
    <w:rsid w:val="00483A6A"/>
    <w:rsid w:val="00484792"/>
    <w:rsid w:val="00492C10"/>
    <w:rsid w:val="004942CF"/>
    <w:rsid w:val="004947B0"/>
    <w:rsid w:val="004A2108"/>
    <w:rsid w:val="004A590F"/>
    <w:rsid w:val="004B0ABE"/>
    <w:rsid w:val="004B1BA1"/>
    <w:rsid w:val="004B4113"/>
    <w:rsid w:val="004B60B7"/>
    <w:rsid w:val="004B6C7F"/>
    <w:rsid w:val="004C0418"/>
    <w:rsid w:val="004C1815"/>
    <w:rsid w:val="004C218A"/>
    <w:rsid w:val="004C278C"/>
    <w:rsid w:val="004D0491"/>
    <w:rsid w:val="004D1A4F"/>
    <w:rsid w:val="004D1DDF"/>
    <w:rsid w:val="004D52D6"/>
    <w:rsid w:val="004D721E"/>
    <w:rsid w:val="004E19D2"/>
    <w:rsid w:val="004E3B8A"/>
    <w:rsid w:val="004E4DB3"/>
    <w:rsid w:val="004E5017"/>
    <w:rsid w:val="004E557D"/>
    <w:rsid w:val="004E5676"/>
    <w:rsid w:val="004F748A"/>
    <w:rsid w:val="00500751"/>
    <w:rsid w:val="00501E6F"/>
    <w:rsid w:val="00504B71"/>
    <w:rsid w:val="00505983"/>
    <w:rsid w:val="00505EFC"/>
    <w:rsid w:val="00512CC2"/>
    <w:rsid w:val="005160D2"/>
    <w:rsid w:val="005309A9"/>
    <w:rsid w:val="00534653"/>
    <w:rsid w:val="005438D4"/>
    <w:rsid w:val="00543B1F"/>
    <w:rsid w:val="00550198"/>
    <w:rsid w:val="00551AB2"/>
    <w:rsid w:val="00562128"/>
    <w:rsid w:val="00562D4C"/>
    <w:rsid w:val="00563FF4"/>
    <w:rsid w:val="0056647B"/>
    <w:rsid w:val="005665AD"/>
    <w:rsid w:val="005667E4"/>
    <w:rsid w:val="00571E27"/>
    <w:rsid w:val="0057489F"/>
    <w:rsid w:val="005763AD"/>
    <w:rsid w:val="00577129"/>
    <w:rsid w:val="005771C8"/>
    <w:rsid w:val="00582CBC"/>
    <w:rsid w:val="0058460A"/>
    <w:rsid w:val="00584BD2"/>
    <w:rsid w:val="00584EC4"/>
    <w:rsid w:val="005864A8"/>
    <w:rsid w:val="0058785C"/>
    <w:rsid w:val="00590726"/>
    <w:rsid w:val="00590FFE"/>
    <w:rsid w:val="00597F97"/>
    <w:rsid w:val="005A0C33"/>
    <w:rsid w:val="005A1424"/>
    <w:rsid w:val="005A23DC"/>
    <w:rsid w:val="005A49F7"/>
    <w:rsid w:val="005B0337"/>
    <w:rsid w:val="005B16E6"/>
    <w:rsid w:val="005D09EE"/>
    <w:rsid w:val="005D44D8"/>
    <w:rsid w:val="005D4DAC"/>
    <w:rsid w:val="005D5C33"/>
    <w:rsid w:val="005D62B1"/>
    <w:rsid w:val="005E081D"/>
    <w:rsid w:val="005E195F"/>
    <w:rsid w:val="005E28AA"/>
    <w:rsid w:val="005E4EB2"/>
    <w:rsid w:val="005E7619"/>
    <w:rsid w:val="005F0365"/>
    <w:rsid w:val="005F29B7"/>
    <w:rsid w:val="005F473E"/>
    <w:rsid w:val="005F48E0"/>
    <w:rsid w:val="005F55A9"/>
    <w:rsid w:val="005F57CC"/>
    <w:rsid w:val="00600759"/>
    <w:rsid w:val="006053DD"/>
    <w:rsid w:val="00605A7B"/>
    <w:rsid w:val="00613420"/>
    <w:rsid w:val="00615D5D"/>
    <w:rsid w:val="006161AE"/>
    <w:rsid w:val="00624A0C"/>
    <w:rsid w:val="006364CE"/>
    <w:rsid w:val="00637083"/>
    <w:rsid w:val="00643275"/>
    <w:rsid w:val="00643AAD"/>
    <w:rsid w:val="00643ACC"/>
    <w:rsid w:val="006510CB"/>
    <w:rsid w:val="00654CB8"/>
    <w:rsid w:val="006552E5"/>
    <w:rsid w:val="00660196"/>
    <w:rsid w:val="00665B97"/>
    <w:rsid w:val="006662D7"/>
    <w:rsid w:val="006665A6"/>
    <w:rsid w:val="006674B5"/>
    <w:rsid w:val="00667F07"/>
    <w:rsid w:val="006733D2"/>
    <w:rsid w:val="00673AA3"/>
    <w:rsid w:val="00674854"/>
    <w:rsid w:val="00676E03"/>
    <w:rsid w:val="006807F3"/>
    <w:rsid w:val="0068486D"/>
    <w:rsid w:val="006877BB"/>
    <w:rsid w:val="00691AE3"/>
    <w:rsid w:val="00693F0F"/>
    <w:rsid w:val="00697D42"/>
    <w:rsid w:val="006A2018"/>
    <w:rsid w:val="006B6631"/>
    <w:rsid w:val="006B6AC2"/>
    <w:rsid w:val="006B70BE"/>
    <w:rsid w:val="006C703E"/>
    <w:rsid w:val="006D0E3A"/>
    <w:rsid w:val="006D2B28"/>
    <w:rsid w:val="006D4363"/>
    <w:rsid w:val="006D6342"/>
    <w:rsid w:val="006E4D06"/>
    <w:rsid w:val="006E6527"/>
    <w:rsid w:val="006E722E"/>
    <w:rsid w:val="006F3661"/>
    <w:rsid w:val="006F41E2"/>
    <w:rsid w:val="006F6A5C"/>
    <w:rsid w:val="006F728B"/>
    <w:rsid w:val="00703F6E"/>
    <w:rsid w:val="00705CB8"/>
    <w:rsid w:val="00711AC4"/>
    <w:rsid w:val="00712525"/>
    <w:rsid w:val="00713AC2"/>
    <w:rsid w:val="00714118"/>
    <w:rsid w:val="007142AE"/>
    <w:rsid w:val="0071623A"/>
    <w:rsid w:val="00720D3A"/>
    <w:rsid w:val="00724006"/>
    <w:rsid w:val="0072530A"/>
    <w:rsid w:val="00726216"/>
    <w:rsid w:val="00731B4D"/>
    <w:rsid w:val="007377A1"/>
    <w:rsid w:val="007404EB"/>
    <w:rsid w:val="00740751"/>
    <w:rsid w:val="0074182A"/>
    <w:rsid w:val="00746433"/>
    <w:rsid w:val="007464E8"/>
    <w:rsid w:val="0075122A"/>
    <w:rsid w:val="00751C9B"/>
    <w:rsid w:val="00751D20"/>
    <w:rsid w:val="007526FE"/>
    <w:rsid w:val="007529A9"/>
    <w:rsid w:val="007549BB"/>
    <w:rsid w:val="00754BD4"/>
    <w:rsid w:val="0075745C"/>
    <w:rsid w:val="007624FC"/>
    <w:rsid w:val="00766424"/>
    <w:rsid w:val="00767784"/>
    <w:rsid w:val="007724F6"/>
    <w:rsid w:val="00773518"/>
    <w:rsid w:val="0078018B"/>
    <w:rsid w:val="007818AD"/>
    <w:rsid w:val="007939DF"/>
    <w:rsid w:val="00793DB6"/>
    <w:rsid w:val="007A18EE"/>
    <w:rsid w:val="007A254F"/>
    <w:rsid w:val="007A4627"/>
    <w:rsid w:val="007A4899"/>
    <w:rsid w:val="007A788E"/>
    <w:rsid w:val="007A7BB9"/>
    <w:rsid w:val="007B2A51"/>
    <w:rsid w:val="007B31F5"/>
    <w:rsid w:val="007B3D8D"/>
    <w:rsid w:val="007B551B"/>
    <w:rsid w:val="007C737A"/>
    <w:rsid w:val="007C753D"/>
    <w:rsid w:val="007C7B55"/>
    <w:rsid w:val="007D00E4"/>
    <w:rsid w:val="007D0948"/>
    <w:rsid w:val="007D1E1B"/>
    <w:rsid w:val="007D630D"/>
    <w:rsid w:val="007D6B86"/>
    <w:rsid w:val="007E0322"/>
    <w:rsid w:val="007E0B9C"/>
    <w:rsid w:val="007E0FDF"/>
    <w:rsid w:val="007E495E"/>
    <w:rsid w:val="007F01E3"/>
    <w:rsid w:val="007F3A12"/>
    <w:rsid w:val="007F61F3"/>
    <w:rsid w:val="007F7CA8"/>
    <w:rsid w:val="00801E8F"/>
    <w:rsid w:val="0080284E"/>
    <w:rsid w:val="008028C5"/>
    <w:rsid w:val="0080549B"/>
    <w:rsid w:val="00807F02"/>
    <w:rsid w:val="0081117A"/>
    <w:rsid w:val="00824205"/>
    <w:rsid w:val="008334DC"/>
    <w:rsid w:val="0083385A"/>
    <w:rsid w:val="00833CE7"/>
    <w:rsid w:val="00833D4F"/>
    <w:rsid w:val="00837C84"/>
    <w:rsid w:val="0084066C"/>
    <w:rsid w:val="00841129"/>
    <w:rsid w:val="00843CB8"/>
    <w:rsid w:val="00847878"/>
    <w:rsid w:val="008508BA"/>
    <w:rsid w:val="00850C2C"/>
    <w:rsid w:val="00853BE0"/>
    <w:rsid w:val="00853C9D"/>
    <w:rsid w:val="00854563"/>
    <w:rsid w:val="00857B31"/>
    <w:rsid w:val="00861582"/>
    <w:rsid w:val="00862621"/>
    <w:rsid w:val="00867695"/>
    <w:rsid w:val="00870D53"/>
    <w:rsid w:val="00874F79"/>
    <w:rsid w:val="00875B56"/>
    <w:rsid w:val="008772FF"/>
    <w:rsid w:val="00880B27"/>
    <w:rsid w:val="0088391F"/>
    <w:rsid w:val="008919FD"/>
    <w:rsid w:val="00892141"/>
    <w:rsid w:val="0089500B"/>
    <w:rsid w:val="0089688A"/>
    <w:rsid w:val="008A16A5"/>
    <w:rsid w:val="008B1380"/>
    <w:rsid w:val="008B282B"/>
    <w:rsid w:val="008B3796"/>
    <w:rsid w:val="008B41AE"/>
    <w:rsid w:val="008B667A"/>
    <w:rsid w:val="008C1849"/>
    <w:rsid w:val="008C5C42"/>
    <w:rsid w:val="008C6AC0"/>
    <w:rsid w:val="008C7B27"/>
    <w:rsid w:val="008D36E2"/>
    <w:rsid w:val="008D4734"/>
    <w:rsid w:val="008D77A2"/>
    <w:rsid w:val="008D7C6D"/>
    <w:rsid w:val="008E41D9"/>
    <w:rsid w:val="008E530B"/>
    <w:rsid w:val="008F3210"/>
    <w:rsid w:val="008F4119"/>
    <w:rsid w:val="008F4B3F"/>
    <w:rsid w:val="008F64D6"/>
    <w:rsid w:val="00901F69"/>
    <w:rsid w:val="00904EF9"/>
    <w:rsid w:val="00905875"/>
    <w:rsid w:val="00915638"/>
    <w:rsid w:val="00917041"/>
    <w:rsid w:val="00920084"/>
    <w:rsid w:val="00920D3A"/>
    <w:rsid w:val="0092607F"/>
    <w:rsid w:val="00926BB0"/>
    <w:rsid w:val="00931361"/>
    <w:rsid w:val="00931369"/>
    <w:rsid w:val="009322E3"/>
    <w:rsid w:val="009350D3"/>
    <w:rsid w:val="00936408"/>
    <w:rsid w:val="00937F51"/>
    <w:rsid w:val="00941FE5"/>
    <w:rsid w:val="0094201D"/>
    <w:rsid w:val="009437D4"/>
    <w:rsid w:val="009602CE"/>
    <w:rsid w:val="0096069A"/>
    <w:rsid w:val="00961E0C"/>
    <w:rsid w:val="009631D2"/>
    <w:rsid w:val="009641F2"/>
    <w:rsid w:val="00964ABE"/>
    <w:rsid w:val="00965577"/>
    <w:rsid w:val="00965623"/>
    <w:rsid w:val="00971FE1"/>
    <w:rsid w:val="00973890"/>
    <w:rsid w:val="009748EF"/>
    <w:rsid w:val="009762B7"/>
    <w:rsid w:val="0097713A"/>
    <w:rsid w:val="00980339"/>
    <w:rsid w:val="009830BB"/>
    <w:rsid w:val="00986382"/>
    <w:rsid w:val="00986C5E"/>
    <w:rsid w:val="00987482"/>
    <w:rsid w:val="00987724"/>
    <w:rsid w:val="009952CA"/>
    <w:rsid w:val="00995A79"/>
    <w:rsid w:val="00997294"/>
    <w:rsid w:val="00997EF9"/>
    <w:rsid w:val="009A3083"/>
    <w:rsid w:val="009A38FC"/>
    <w:rsid w:val="009A3A37"/>
    <w:rsid w:val="009A6777"/>
    <w:rsid w:val="009A6BE4"/>
    <w:rsid w:val="009C2205"/>
    <w:rsid w:val="009C2F55"/>
    <w:rsid w:val="009C4605"/>
    <w:rsid w:val="009D2D54"/>
    <w:rsid w:val="009D6110"/>
    <w:rsid w:val="009D649A"/>
    <w:rsid w:val="009D6E49"/>
    <w:rsid w:val="009D71F7"/>
    <w:rsid w:val="009E4AFC"/>
    <w:rsid w:val="009E51A9"/>
    <w:rsid w:val="009E74FD"/>
    <w:rsid w:val="009F081E"/>
    <w:rsid w:val="009F4D2D"/>
    <w:rsid w:val="009F4EA4"/>
    <w:rsid w:val="009F5D79"/>
    <w:rsid w:val="00A0047A"/>
    <w:rsid w:val="00A00828"/>
    <w:rsid w:val="00A03467"/>
    <w:rsid w:val="00A0688B"/>
    <w:rsid w:val="00A120D0"/>
    <w:rsid w:val="00A12632"/>
    <w:rsid w:val="00A153E8"/>
    <w:rsid w:val="00A15675"/>
    <w:rsid w:val="00A21212"/>
    <w:rsid w:val="00A214CE"/>
    <w:rsid w:val="00A26572"/>
    <w:rsid w:val="00A31F02"/>
    <w:rsid w:val="00A329FB"/>
    <w:rsid w:val="00A33DFB"/>
    <w:rsid w:val="00A35A72"/>
    <w:rsid w:val="00A41638"/>
    <w:rsid w:val="00A446DD"/>
    <w:rsid w:val="00A458BE"/>
    <w:rsid w:val="00A50C82"/>
    <w:rsid w:val="00A514EC"/>
    <w:rsid w:val="00A51A29"/>
    <w:rsid w:val="00A5588B"/>
    <w:rsid w:val="00A63651"/>
    <w:rsid w:val="00A6484B"/>
    <w:rsid w:val="00A70562"/>
    <w:rsid w:val="00A72075"/>
    <w:rsid w:val="00A73751"/>
    <w:rsid w:val="00A73F40"/>
    <w:rsid w:val="00A74DCA"/>
    <w:rsid w:val="00A76561"/>
    <w:rsid w:val="00A849F0"/>
    <w:rsid w:val="00A84B26"/>
    <w:rsid w:val="00A875B9"/>
    <w:rsid w:val="00A87619"/>
    <w:rsid w:val="00A906EA"/>
    <w:rsid w:val="00A93D6B"/>
    <w:rsid w:val="00A942B7"/>
    <w:rsid w:val="00A9530E"/>
    <w:rsid w:val="00A95D2A"/>
    <w:rsid w:val="00AA05B7"/>
    <w:rsid w:val="00AA27C3"/>
    <w:rsid w:val="00AA34BF"/>
    <w:rsid w:val="00AA663B"/>
    <w:rsid w:val="00AB0162"/>
    <w:rsid w:val="00AB1CC7"/>
    <w:rsid w:val="00AB2022"/>
    <w:rsid w:val="00AB3171"/>
    <w:rsid w:val="00AB4A5F"/>
    <w:rsid w:val="00AC25DE"/>
    <w:rsid w:val="00AD5033"/>
    <w:rsid w:val="00AD5819"/>
    <w:rsid w:val="00AE6FF0"/>
    <w:rsid w:val="00AF527D"/>
    <w:rsid w:val="00B12265"/>
    <w:rsid w:val="00B127EA"/>
    <w:rsid w:val="00B143A4"/>
    <w:rsid w:val="00B15D8C"/>
    <w:rsid w:val="00B16C0F"/>
    <w:rsid w:val="00B23C31"/>
    <w:rsid w:val="00B23DE2"/>
    <w:rsid w:val="00B35B98"/>
    <w:rsid w:val="00B36776"/>
    <w:rsid w:val="00B36B0E"/>
    <w:rsid w:val="00B36B85"/>
    <w:rsid w:val="00B40130"/>
    <w:rsid w:val="00B412B0"/>
    <w:rsid w:val="00B429B9"/>
    <w:rsid w:val="00B43D04"/>
    <w:rsid w:val="00B472F1"/>
    <w:rsid w:val="00B52170"/>
    <w:rsid w:val="00B54CAF"/>
    <w:rsid w:val="00B56180"/>
    <w:rsid w:val="00B565C4"/>
    <w:rsid w:val="00B64960"/>
    <w:rsid w:val="00B64D87"/>
    <w:rsid w:val="00B70AFB"/>
    <w:rsid w:val="00B73F27"/>
    <w:rsid w:val="00B75D51"/>
    <w:rsid w:val="00B92109"/>
    <w:rsid w:val="00B96983"/>
    <w:rsid w:val="00B9712C"/>
    <w:rsid w:val="00BA20C4"/>
    <w:rsid w:val="00BA602F"/>
    <w:rsid w:val="00BA70E9"/>
    <w:rsid w:val="00BB21A0"/>
    <w:rsid w:val="00BB29B5"/>
    <w:rsid w:val="00BB4148"/>
    <w:rsid w:val="00BB6FF4"/>
    <w:rsid w:val="00BC2C3B"/>
    <w:rsid w:val="00BC30A8"/>
    <w:rsid w:val="00BC52B4"/>
    <w:rsid w:val="00BC6A55"/>
    <w:rsid w:val="00BC7B11"/>
    <w:rsid w:val="00BD2594"/>
    <w:rsid w:val="00BE1228"/>
    <w:rsid w:val="00BE2034"/>
    <w:rsid w:val="00BE6107"/>
    <w:rsid w:val="00BE6191"/>
    <w:rsid w:val="00BF2B35"/>
    <w:rsid w:val="00BF2B92"/>
    <w:rsid w:val="00BF506B"/>
    <w:rsid w:val="00C03BAF"/>
    <w:rsid w:val="00C04F74"/>
    <w:rsid w:val="00C05128"/>
    <w:rsid w:val="00C07602"/>
    <w:rsid w:val="00C07913"/>
    <w:rsid w:val="00C16BE2"/>
    <w:rsid w:val="00C224DC"/>
    <w:rsid w:val="00C241ED"/>
    <w:rsid w:val="00C247B0"/>
    <w:rsid w:val="00C263B9"/>
    <w:rsid w:val="00C2742B"/>
    <w:rsid w:val="00C27DEB"/>
    <w:rsid w:val="00C355E6"/>
    <w:rsid w:val="00C35DD4"/>
    <w:rsid w:val="00C36F8C"/>
    <w:rsid w:val="00C40BEB"/>
    <w:rsid w:val="00C41AD7"/>
    <w:rsid w:val="00C42194"/>
    <w:rsid w:val="00C52463"/>
    <w:rsid w:val="00C5391C"/>
    <w:rsid w:val="00C53F92"/>
    <w:rsid w:val="00C5487A"/>
    <w:rsid w:val="00C54FD6"/>
    <w:rsid w:val="00C5607B"/>
    <w:rsid w:val="00C5693F"/>
    <w:rsid w:val="00C62290"/>
    <w:rsid w:val="00C632C3"/>
    <w:rsid w:val="00C63AA1"/>
    <w:rsid w:val="00C71980"/>
    <w:rsid w:val="00C7766C"/>
    <w:rsid w:val="00C80B95"/>
    <w:rsid w:val="00C847F1"/>
    <w:rsid w:val="00C84F64"/>
    <w:rsid w:val="00C85D30"/>
    <w:rsid w:val="00C8691F"/>
    <w:rsid w:val="00C87017"/>
    <w:rsid w:val="00C90D89"/>
    <w:rsid w:val="00CA154F"/>
    <w:rsid w:val="00CA6FAD"/>
    <w:rsid w:val="00CA713B"/>
    <w:rsid w:val="00CA72DC"/>
    <w:rsid w:val="00CB0361"/>
    <w:rsid w:val="00CB2292"/>
    <w:rsid w:val="00CB27EF"/>
    <w:rsid w:val="00CB3941"/>
    <w:rsid w:val="00CB6A71"/>
    <w:rsid w:val="00CB702A"/>
    <w:rsid w:val="00CB791B"/>
    <w:rsid w:val="00CC06C3"/>
    <w:rsid w:val="00CD4EB0"/>
    <w:rsid w:val="00CD5537"/>
    <w:rsid w:val="00CD5AEC"/>
    <w:rsid w:val="00CD72E9"/>
    <w:rsid w:val="00CE1102"/>
    <w:rsid w:val="00CE15AF"/>
    <w:rsid w:val="00CF029D"/>
    <w:rsid w:val="00CF30BA"/>
    <w:rsid w:val="00CF32BE"/>
    <w:rsid w:val="00CF535C"/>
    <w:rsid w:val="00CF6A68"/>
    <w:rsid w:val="00D033DB"/>
    <w:rsid w:val="00D03656"/>
    <w:rsid w:val="00D0419E"/>
    <w:rsid w:val="00D07E60"/>
    <w:rsid w:val="00D1158E"/>
    <w:rsid w:val="00D13FE4"/>
    <w:rsid w:val="00D1534D"/>
    <w:rsid w:val="00D17EE6"/>
    <w:rsid w:val="00D205FF"/>
    <w:rsid w:val="00D22A67"/>
    <w:rsid w:val="00D22C17"/>
    <w:rsid w:val="00D310B0"/>
    <w:rsid w:val="00D3189C"/>
    <w:rsid w:val="00D339B9"/>
    <w:rsid w:val="00D34FA8"/>
    <w:rsid w:val="00D35854"/>
    <w:rsid w:val="00D3684E"/>
    <w:rsid w:val="00D50666"/>
    <w:rsid w:val="00D52F10"/>
    <w:rsid w:val="00D55F52"/>
    <w:rsid w:val="00D56F48"/>
    <w:rsid w:val="00D60657"/>
    <w:rsid w:val="00D61362"/>
    <w:rsid w:val="00D65F74"/>
    <w:rsid w:val="00D72B0D"/>
    <w:rsid w:val="00D7376D"/>
    <w:rsid w:val="00D77A2F"/>
    <w:rsid w:val="00D803AC"/>
    <w:rsid w:val="00D81B22"/>
    <w:rsid w:val="00D86BEA"/>
    <w:rsid w:val="00D87718"/>
    <w:rsid w:val="00D91B81"/>
    <w:rsid w:val="00D92E54"/>
    <w:rsid w:val="00D92F2E"/>
    <w:rsid w:val="00D94808"/>
    <w:rsid w:val="00DA01E7"/>
    <w:rsid w:val="00DA44E2"/>
    <w:rsid w:val="00DA4651"/>
    <w:rsid w:val="00DB05D1"/>
    <w:rsid w:val="00DB0FC4"/>
    <w:rsid w:val="00DB1135"/>
    <w:rsid w:val="00DB5F89"/>
    <w:rsid w:val="00DB6C5A"/>
    <w:rsid w:val="00DC39E7"/>
    <w:rsid w:val="00DC4D94"/>
    <w:rsid w:val="00DC631B"/>
    <w:rsid w:val="00DC6AAC"/>
    <w:rsid w:val="00DD3D1D"/>
    <w:rsid w:val="00DD5276"/>
    <w:rsid w:val="00DD6076"/>
    <w:rsid w:val="00DE08BD"/>
    <w:rsid w:val="00DE0B37"/>
    <w:rsid w:val="00DE0C25"/>
    <w:rsid w:val="00DE42DC"/>
    <w:rsid w:val="00DE5AE9"/>
    <w:rsid w:val="00DE7FC7"/>
    <w:rsid w:val="00DF0056"/>
    <w:rsid w:val="00DF10D7"/>
    <w:rsid w:val="00DF1697"/>
    <w:rsid w:val="00DF2A96"/>
    <w:rsid w:val="00DF46C4"/>
    <w:rsid w:val="00DF626A"/>
    <w:rsid w:val="00E00D5F"/>
    <w:rsid w:val="00E01BFF"/>
    <w:rsid w:val="00E03607"/>
    <w:rsid w:val="00E14BA0"/>
    <w:rsid w:val="00E17452"/>
    <w:rsid w:val="00E21942"/>
    <w:rsid w:val="00E21E9B"/>
    <w:rsid w:val="00E22330"/>
    <w:rsid w:val="00E2459A"/>
    <w:rsid w:val="00E302BB"/>
    <w:rsid w:val="00E36C9E"/>
    <w:rsid w:val="00E41A72"/>
    <w:rsid w:val="00E42E97"/>
    <w:rsid w:val="00E43DD3"/>
    <w:rsid w:val="00E52092"/>
    <w:rsid w:val="00E61AA5"/>
    <w:rsid w:val="00E62368"/>
    <w:rsid w:val="00E642FB"/>
    <w:rsid w:val="00E660F9"/>
    <w:rsid w:val="00E7181B"/>
    <w:rsid w:val="00E72906"/>
    <w:rsid w:val="00E732C3"/>
    <w:rsid w:val="00E732DA"/>
    <w:rsid w:val="00E73445"/>
    <w:rsid w:val="00E76359"/>
    <w:rsid w:val="00E82000"/>
    <w:rsid w:val="00E8331B"/>
    <w:rsid w:val="00E83C62"/>
    <w:rsid w:val="00E840ED"/>
    <w:rsid w:val="00E847E1"/>
    <w:rsid w:val="00E87CFB"/>
    <w:rsid w:val="00E917A4"/>
    <w:rsid w:val="00E95017"/>
    <w:rsid w:val="00E95BA4"/>
    <w:rsid w:val="00E967E8"/>
    <w:rsid w:val="00EA1C30"/>
    <w:rsid w:val="00EA1EE1"/>
    <w:rsid w:val="00EA2718"/>
    <w:rsid w:val="00EA36FD"/>
    <w:rsid w:val="00EA5BD2"/>
    <w:rsid w:val="00EA6D85"/>
    <w:rsid w:val="00EA70CB"/>
    <w:rsid w:val="00EB0EE3"/>
    <w:rsid w:val="00EB2FEF"/>
    <w:rsid w:val="00EB360A"/>
    <w:rsid w:val="00EB3A72"/>
    <w:rsid w:val="00EB6ADC"/>
    <w:rsid w:val="00EC3D3B"/>
    <w:rsid w:val="00EC7BF1"/>
    <w:rsid w:val="00ED40D2"/>
    <w:rsid w:val="00ED61EE"/>
    <w:rsid w:val="00ED7249"/>
    <w:rsid w:val="00EE2FCB"/>
    <w:rsid w:val="00EF143C"/>
    <w:rsid w:val="00EF14C4"/>
    <w:rsid w:val="00EF2894"/>
    <w:rsid w:val="00EF4605"/>
    <w:rsid w:val="00EF5255"/>
    <w:rsid w:val="00F0119D"/>
    <w:rsid w:val="00F06337"/>
    <w:rsid w:val="00F06410"/>
    <w:rsid w:val="00F10BFD"/>
    <w:rsid w:val="00F127EF"/>
    <w:rsid w:val="00F12943"/>
    <w:rsid w:val="00F16D4A"/>
    <w:rsid w:val="00F17427"/>
    <w:rsid w:val="00F205CD"/>
    <w:rsid w:val="00F22467"/>
    <w:rsid w:val="00F260B7"/>
    <w:rsid w:val="00F271A2"/>
    <w:rsid w:val="00F300B0"/>
    <w:rsid w:val="00F3088C"/>
    <w:rsid w:val="00F30A2E"/>
    <w:rsid w:val="00F32C04"/>
    <w:rsid w:val="00F33444"/>
    <w:rsid w:val="00F3437B"/>
    <w:rsid w:val="00F346F9"/>
    <w:rsid w:val="00F348CD"/>
    <w:rsid w:val="00F36980"/>
    <w:rsid w:val="00F37021"/>
    <w:rsid w:val="00F406C4"/>
    <w:rsid w:val="00F42A44"/>
    <w:rsid w:val="00F43594"/>
    <w:rsid w:val="00F44031"/>
    <w:rsid w:val="00F454E1"/>
    <w:rsid w:val="00F539A2"/>
    <w:rsid w:val="00F53C07"/>
    <w:rsid w:val="00F57389"/>
    <w:rsid w:val="00F65124"/>
    <w:rsid w:val="00F70368"/>
    <w:rsid w:val="00F71683"/>
    <w:rsid w:val="00F716A8"/>
    <w:rsid w:val="00F71826"/>
    <w:rsid w:val="00F71D13"/>
    <w:rsid w:val="00F73849"/>
    <w:rsid w:val="00F914E6"/>
    <w:rsid w:val="00F92ECE"/>
    <w:rsid w:val="00F9482F"/>
    <w:rsid w:val="00F964D3"/>
    <w:rsid w:val="00FA7B8E"/>
    <w:rsid w:val="00FB1E4C"/>
    <w:rsid w:val="00FB380B"/>
    <w:rsid w:val="00FC1A10"/>
    <w:rsid w:val="00FC2B8B"/>
    <w:rsid w:val="00FC5675"/>
    <w:rsid w:val="00FC6678"/>
    <w:rsid w:val="00FD3DE0"/>
    <w:rsid w:val="00FD4C4E"/>
    <w:rsid w:val="00FD76EF"/>
    <w:rsid w:val="00FD7BED"/>
    <w:rsid w:val="00FE030E"/>
    <w:rsid w:val="00FE0841"/>
    <w:rsid w:val="00FE0A11"/>
    <w:rsid w:val="00FE17FD"/>
    <w:rsid w:val="00FE19E7"/>
    <w:rsid w:val="00FE7B55"/>
    <w:rsid w:val="00FF4442"/>
    <w:rsid w:val="00FF5A5A"/>
    <w:rsid w:val="0155E9B6"/>
    <w:rsid w:val="0208ECD2"/>
    <w:rsid w:val="03271FE9"/>
    <w:rsid w:val="04D37CEE"/>
    <w:rsid w:val="052E2D54"/>
    <w:rsid w:val="05C1795E"/>
    <w:rsid w:val="05F2F5FE"/>
    <w:rsid w:val="065F4BB8"/>
    <w:rsid w:val="06799B07"/>
    <w:rsid w:val="06B6BABF"/>
    <w:rsid w:val="07D683F9"/>
    <w:rsid w:val="09EFB7A2"/>
    <w:rsid w:val="0B1454D0"/>
    <w:rsid w:val="0B8A3F99"/>
    <w:rsid w:val="0B925AFB"/>
    <w:rsid w:val="0C3F47CC"/>
    <w:rsid w:val="0DE091F2"/>
    <w:rsid w:val="0E07DE36"/>
    <w:rsid w:val="0E6A4D40"/>
    <w:rsid w:val="0E6E9F0D"/>
    <w:rsid w:val="0E8C4004"/>
    <w:rsid w:val="0EACD5B9"/>
    <w:rsid w:val="0F9312CC"/>
    <w:rsid w:val="106760DC"/>
    <w:rsid w:val="10C8913A"/>
    <w:rsid w:val="114DFE99"/>
    <w:rsid w:val="117E0185"/>
    <w:rsid w:val="11DB3863"/>
    <w:rsid w:val="1382600F"/>
    <w:rsid w:val="139F17EC"/>
    <w:rsid w:val="13A638DE"/>
    <w:rsid w:val="13EBFE23"/>
    <w:rsid w:val="140A3EF0"/>
    <w:rsid w:val="1531374C"/>
    <w:rsid w:val="160D062E"/>
    <w:rsid w:val="16FF6EDF"/>
    <w:rsid w:val="17C0FE37"/>
    <w:rsid w:val="18864BFD"/>
    <w:rsid w:val="188A3D9E"/>
    <w:rsid w:val="1A28BB19"/>
    <w:rsid w:val="1AB6390D"/>
    <w:rsid w:val="1B10A54C"/>
    <w:rsid w:val="1BC155E2"/>
    <w:rsid w:val="1BD4419A"/>
    <w:rsid w:val="1C86478F"/>
    <w:rsid w:val="1DD92EDD"/>
    <w:rsid w:val="1E78A3E4"/>
    <w:rsid w:val="205C8BFA"/>
    <w:rsid w:val="20A391DA"/>
    <w:rsid w:val="2133154B"/>
    <w:rsid w:val="213CBF0C"/>
    <w:rsid w:val="218A7838"/>
    <w:rsid w:val="2196402C"/>
    <w:rsid w:val="21964A83"/>
    <w:rsid w:val="21EC79F4"/>
    <w:rsid w:val="23AE8FDB"/>
    <w:rsid w:val="25A1E131"/>
    <w:rsid w:val="25BA8C4F"/>
    <w:rsid w:val="25C3D3BD"/>
    <w:rsid w:val="25D5E126"/>
    <w:rsid w:val="26013A92"/>
    <w:rsid w:val="26D8F9FE"/>
    <w:rsid w:val="27485DB4"/>
    <w:rsid w:val="280F3839"/>
    <w:rsid w:val="2823BA89"/>
    <w:rsid w:val="28C40B7F"/>
    <w:rsid w:val="2951569C"/>
    <w:rsid w:val="29A41367"/>
    <w:rsid w:val="29D58F69"/>
    <w:rsid w:val="2B526E90"/>
    <w:rsid w:val="2B756478"/>
    <w:rsid w:val="2BC077C7"/>
    <w:rsid w:val="2BCF5C3B"/>
    <w:rsid w:val="2BD157C8"/>
    <w:rsid w:val="2CC20839"/>
    <w:rsid w:val="2DA38617"/>
    <w:rsid w:val="2E080D76"/>
    <w:rsid w:val="2E5E3928"/>
    <w:rsid w:val="2E70FD7C"/>
    <w:rsid w:val="2E8CCCC2"/>
    <w:rsid w:val="2EAE6971"/>
    <w:rsid w:val="2F9201BC"/>
    <w:rsid w:val="308CE62E"/>
    <w:rsid w:val="30A0C5C1"/>
    <w:rsid w:val="30CFD852"/>
    <w:rsid w:val="34D9E11E"/>
    <w:rsid w:val="34FEDFA7"/>
    <w:rsid w:val="3531D1C8"/>
    <w:rsid w:val="35AFF58E"/>
    <w:rsid w:val="368BA70F"/>
    <w:rsid w:val="369F593A"/>
    <w:rsid w:val="371856E5"/>
    <w:rsid w:val="374C9155"/>
    <w:rsid w:val="374D3F58"/>
    <w:rsid w:val="375BD748"/>
    <w:rsid w:val="37E31951"/>
    <w:rsid w:val="383814D8"/>
    <w:rsid w:val="384BCCFA"/>
    <w:rsid w:val="388E1B3C"/>
    <w:rsid w:val="38B4911A"/>
    <w:rsid w:val="3960AADD"/>
    <w:rsid w:val="3B008945"/>
    <w:rsid w:val="3B34FBD7"/>
    <w:rsid w:val="3BA2837A"/>
    <w:rsid w:val="3C53924A"/>
    <w:rsid w:val="3CB12B5E"/>
    <w:rsid w:val="3D067019"/>
    <w:rsid w:val="3E0644CB"/>
    <w:rsid w:val="3E2858ED"/>
    <w:rsid w:val="3E5BF640"/>
    <w:rsid w:val="3F5437B4"/>
    <w:rsid w:val="3F923CFA"/>
    <w:rsid w:val="40903C25"/>
    <w:rsid w:val="40C884A9"/>
    <w:rsid w:val="41641B85"/>
    <w:rsid w:val="419BFFD2"/>
    <w:rsid w:val="41D7D9E1"/>
    <w:rsid w:val="41FB7CAF"/>
    <w:rsid w:val="427D81B8"/>
    <w:rsid w:val="44AB56BC"/>
    <w:rsid w:val="44C0C1ED"/>
    <w:rsid w:val="453F7431"/>
    <w:rsid w:val="45BF9C61"/>
    <w:rsid w:val="4698538F"/>
    <w:rsid w:val="47E32624"/>
    <w:rsid w:val="48B9734A"/>
    <w:rsid w:val="4959E5F3"/>
    <w:rsid w:val="4BE621DD"/>
    <w:rsid w:val="4BF083F7"/>
    <w:rsid w:val="4C6D55E2"/>
    <w:rsid w:val="4CBEDA62"/>
    <w:rsid w:val="4CCE9515"/>
    <w:rsid w:val="4D6BCF47"/>
    <w:rsid w:val="4DD2CB84"/>
    <w:rsid w:val="4FB14E12"/>
    <w:rsid w:val="4FC13FDD"/>
    <w:rsid w:val="4FE1A90F"/>
    <w:rsid w:val="50267628"/>
    <w:rsid w:val="50F06A75"/>
    <w:rsid w:val="50F50845"/>
    <w:rsid w:val="511E37BC"/>
    <w:rsid w:val="524237A3"/>
    <w:rsid w:val="5305EDC2"/>
    <w:rsid w:val="5372F664"/>
    <w:rsid w:val="53B6BCCB"/>
    <w:rsid w:val="53BD2348"/>
    <w:rsid w:val="5437CEDB"/>
    <w:rsid w:val="546A92CD"/>
    <w:rsid w:val="54830A3B"/>
    <w:rsid w:val="553ADF02"/>
    <w:rsid w:val="556293F9"/>
    <w:rsid w:val="560C8024"/>
    <w:rsid w:val="584F3508"/>
    <w:rsid w:val="5898401E"/>
    <w:rsid w:val="5B31A40B"/>
    <w:rsid w:val="5B686FB7"/>
    <w:rsid w:val="5B878019"/>
    <w:rsid w:val="5BDF1741"/>
    <w:rsid w:val="5C4B2D8A"/>
    <w:rsid w:val="5CA98C24"/>
    <w:rsid w:val="5DA99854"/>
    <w:rsid w:val="5E5C0721"/>
    <w:rsid w:val="5EDF671A"/>
    <w:rsid w:val="5F770E7E"/>
    <w:rsid w:val="6118AEBD"/>
    <w:rsid w:val="61E92C20"/>
    <w:rsid w:val="6267F58B"/>
    <w:rsid w:val="62E7F9E2"/>
    <w:rsid w:val="63EBA826"/>
    <w:rsid w:val="658A22D3"/>
    <w:rsid w:val="663B0077"/>
    <w:rsid w:val="69B2EB11"/>
    <w:rsid w:val="6A4B926E"/>
    <w:rsid w:val="6A997622"/>
    <w:rsid w:val="6BC0EBE4"/>
    <w:rsid w:val="6C5BD9A0"/>
    <w:rsid w:val="6FC62043"/>
    <w:rsid w:val="702DBED5"/>
    <w:rsid w:val="70C8D37E"/>
    <w:rsid w:val="7190D17A"/>
    <w:rsid w:val="737CE7B6"/>
    <w:rsid w:val="7433E11C"/>
    <w:rsid w:val="743685F2"/>
    <w:rsid w:val="75327164"/>
    <w:rsid w:val="75994A67"/>
    <w:rsid w:val="765EEE80"/>
    <w:rsid w:val="76B730A9"/>
    <w:rsid w:val="781DD079"/>
    <w:rsid w:val="7832F1F8"/>
    <w:rsid w:val="783DD4FE"/>
    <w:rsid w:val="7871484E"/>
    <w:rsid w:val="7979FBE2"/>
    <w:rsid w:val="79BE70E0"/>
    <w:rsid w:val="7AE35F41"/>
    <w:rsid w:val="7BD38B70"/>
    <w:rsid w:val="7C2D43F7"/>
    <w:rsid w:val="7D47A171"/>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4EEC3"/>
  <w15:docId w15:val="{3EE178A0-D8DE-4F4E-A677-2F89028D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1204C"/>
        <w:lang w:val="fr-F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pPr>
    <w:rPr>
      <w:lang w:eastAsia="en-US"/>
    </w:rPr>
  </w:style>
  <w:style w:type="paragraph" w:styleId="Ttulo1">
    <w:name w:val="heading 1"/>
    <w:basedOn w:val="Normal"/>
    <w:next w:val="Normal"/>
    <w:uiPriority w:val="9"/>
    <w:qFormat/>
    <w:pPr>
      <w:keepNext/>
      <w:keepLines/>
      <w:spacing w:before="480" w:line="276" w:lineRule="auto"/>
      <w:ind w:left="708"/>
      <w:outlineLvl w:val="0"/>
    </w:pPr>
    <w:rPr>
      <w:rFonts w:eastAsia="MS Gothic"/>
      <w:b/>
      <w:bCs/>
      <w:color w:val="17153B"/>
      <w:sz w:val="28"/>
      <w:szCs w:val="28"/>
      <w:lang w:val="en-US"/>
    </w:rPr>
  </w:style>
  <w:style w:type="paragraph" w:styleId="Ttulo2">
    <w:name w:val="heading 2"/>
    <w:basedOn w:val="Normal"/>
    <w:next w:val="Normal"/>
    <w:uiPriority w:val="9"/>
    <w:semiHidden/>
    <w:unhideWhenUsed/>
    <w:qFormat/>
    <w:pPr>
      <w:keepNext/>
      <w:keepLines/>
      <w:spacing w:before="200" w:line="276" w:lineRule="auto"/>
      <w:ind w:left="708"/>
      <w:outlineLvl w:val="1"/>
    </w:pPr>
    <w:rPr>
      <w:rFonts w:eastAsia="MS Gothic"/>
      <w:b/>
      <w:bCs/>
      <w:color w:val="201C50"/>
      <w:sz w:val="26"/>
      <w:szCs w:val="26"/>
      <w:lang w:val="en-US"/>
    </w:rPr>
  </w:style>
  <w:style w:type="paragraph" w:styleId="Ttulo3">
    <w:name w:val="heading 3"/>
    <w:basedOn w:val="Normal"/>
    <w:next w:val="Normal"/>
    <w:uiPriority w:val="9"/>
    <w:semiHidden/>
    <w:unhideWhenUsed/>
    <w:qFormat/>
    <w:pPr>
      <w:keepNext/>
      <w:keepLines/>
      <w:spacing w:before="200" w:line="276" w:lineRule="auto"/>
      <w:ind w:left="708"/>
      <w:outlineLvl w:val="2"/>
    </w:pPr>
    <w:rPr>
      <w:rFonts w:eastAsia="MS Gothic"/>
      <w:b/>
      <w:bCs/>
      <w:color w:val="201C50"/>
      <w:szCs w:val="22"/>
      <w:lang w:val="en-U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pPr>
      <w:spacing w:line="240" w:lineRule="auto"/>
    </w:pPr>
    <w:rPr>
      <w:rFonts w:ascii="Century Gothic" w:hAnsi="Century Gothic"/>
      <w:color w:val="auto"/>
      <w:sz w:val="28"/>
    </w:rPr>
  </w:style>
  <w:style w:type="paragraph" w:styleId="Piedepgina">
    <w:name w:val="footer"/>
    <w:basedOn w:val="Normal"/>
    <w:pPr>
      <w:tabs>
        <w:tab w:val="center" w:pos="4536"/>
        <w:tab w:val="right" w:pos="9072"/>
      </w:tabs>
      <w:spacing w:line="240" w:lineRule="auto"/>
    </w:pPr>
  </w:style>
  <w:style w:type="paragraph" w:customStyle="1" w:styleId="EdenredDate">
    <w:name w:val="Edenred Date"/>
    <w:basedOn w:val="Encabezado"/>
    <w:pPr>
      <w:jc w:val="right"/>
    </w:pPr>
    <w:rPr>
      <w:sz w:val="20"/>
    </w:rPr>
  </w:style>
  <w:style w:type="paragraph" w:customStyle="1" w:styleId="EdenredTitle">
    <w:name w:val="Edenred Title"/>
    <w:basedOn w:val="Text"/>
    <w:rPr>
      <w:color w:val="162056"/>
      <w:sz w:val="40"/>
      <w:szCs w:val="40"/>
    </w:rPr>
  </w:style>
  <w:style w:type="paragraph" w:customStyle="1" w:styleId="Edenredsubtitle">
    <w:name w:val="Edenred subtitle"/>
    <w:basedOn w:val="Normal"/>
    <w:pPr>
      <w:spacing w:line="254" w:lineRule="auto"/>
      <w:jc w:val="both"/>
    </w:pPr>
    <w:rPr>
      <w:rFonts w:ascii="Century Gothic" w:hAnsi="Century Gothic"/>
      <w:color w:val="003591"/>
      <w:sz w:val="30"/>
      <w:szCs w:val="30"/>
      <w:lang w:val="en-US"/>
    </w:rPr>
  </w:style>
  <w:style w:type="paragraph" w:customStyle="1" w:styleId="Text">
    <w:name w:val="Text"/>
    <w:basedOn w:val="Normal"/>
    <w:pPr>
      <w:spacing w:line="254" w:lineRule="auto"/>
      <w:jc w:val="both"/>
    </w:pPr>
    <w:rPr>
      <w:rFonts w:ascii="Century Gothic" w:hAnsi="Century Gothic"/>
      <w:color w:val="auto"/>
      <w:lang w:val="en-US"/>
    </w:rPr>
  </w:style>
  <w:style w:type="character" w:customStyle="1" w:styleId="PiedepginaCar">
    <w:name w:val="Pie de página Car"/>
    <w:basedOn w:val="Fuentedeprrafopredeter"/>
    <w:rPr>
      <w:rFonts w:ascii="Arial" w:hAnsi="Arial"/>
      <w:color w:val="11204C"/>
      <w:lang w:eastAsia="en-US"/>
    </w:rPr>
  </w:style>
  <w:style w:type="paragraph" w:styleId="Textodeglobo">
    <w:name w:val="Balloon Text"/>
    <w:basedOn w:val="Normal"/>
    <w:pPr>
      <w:spacing w:line="240" w:lineRule="auto"/>
    </w:pPr>
    <w:rPr>
      <w:rFonts w:ascii="Tahoma" w:hAnsi="Tahoma" w:cs="Tahoma"/>
      <w:sz w:val="16"/>
      <w:szCs w:val="16"/>
    </w:rPr>
  </w:style>
  <w:style w:type="character" w:customStyle="1" w:styleId="TextodegloboCar">
    <w:name w:val="Texto de globo Car"/>
    <w:rPr>
      <w:rFonts w:ascii="Tahoma" w:hAnsi="Tahoma" w:cs="Tahoma"/>
      <w:color w:val="11204C"/>
      <w:sz w:val="16"/>
      <w:szCs w:val="16"/>
      <w:lang w:eastAsia="en-US"/>
    </w:rPr>
  </w:style>
  <w:style w:type="paragraph" w:customStyle="1" w:styleId="Page">
    <w:name w:val="Page"/>
    <w:basedOn w:val="Normal"/>
    <w:pPr>
      <w:jc w:val="right"/>
    </w:pPr>
    <w:rPr>
      <w:sz w:val="16"/>
    </w:rPr>
  </w:style>
  <w:style w:type="character" w:customStyle="1" w:styleId="TextCar">
    <w:name w:val="Text Car"/>
    <w:rPr>
      <w:rFonts w:ascii="Century Gothic" w:hAnsi="Century Gothic" w:cs="Arial"/>
      <w:lang w:val="en-US" w:eastAsia="en-US"/>
    </w:rPr>
  </w:style>
  <w:style w:type="paragraph" w:styleId="Textonotapie">
    <w:name w:val="footnote text"/>
    <w:basedOn w:val="Normal"/>
    <w:pPr>
      <w:spacing w:line="240" w:lineRule="auto"/>
    </w:pPr>
    <w:rPr>
      <w:rFonts w:ascii="Century Gothic" w:hAnsi="Century Gothic"/>
      <w:color w:val="auto"/>
      <w:sz w:val="14"/>
    </w:rPr>
  </w:style>
  <w:style w:type="character" w:customStyle="1" w:styleId="TextonotapieCar">
    <w:name w:val="Texto nota pie Car"/>
    <w:rPr>
      <w:rFonts w:ascii="Century Gothic" w:hAnsi="Century Gothic"/>
      <w:sz w:val="14"/>
      <w:lang w:eastAsia="en-US"/>
    </w:rPr>
  </w:style>
  <w:style w:type="character" w:styleId="Refdenotaalpie">
    <w:name w:val="footnote reference"/>
    <w:rPr>
      <w:position w:val="0"/>
      <w:vertAlign w:val="superscript"/>
    </w:rPr>
  </w:style>
  <w:style w:type="character" w:customStyle="1" w:styleId="Ttulo1Car">
    <w:name w:val="Título 1 Car"/>
    <w:rPr>
      <w:rFonts w:ascii="Arial" w:eastAsia="MS Gothic" w:hAnsi="Arial"/>
      <w:b/>
      <w:bCs/>
      <w:color w:val="17153B"/>
      <w:sz w:val="28"/>
      <w:szCs w:val="28"/>
      <w:lang w:val="en-US" w:eastAsia="en-US"/>
    </w:rPr>
  </w:style>
  <w:style w:type="character" w:customStyle="1" w:styleId="Ttulo2Car">
    <w:name w:val="Título 2 Car"/>
    <w:rPr>
      <w:rFonts w:ascii="Arial" w:eastAsia="MS Gothic" w:hAnsi="Arial"/>
      <w:b/>
      <w:bCs/>
      <w:color w:val="201C50"/>
      <w:sz w:val="26"/>
      <w:szCs w:val="26"/>
      <w:lang w:val="en-US" w:eastAsia="en-US"/>
    </w:rPr>
  </w:style>
  <w:style w:type="character" w:customStyle="1" w:styleId="Ttulo3Car">
    <w:name w:val="Título 3 Car"/>
    <w:rPr>
      <w:rFonts w:ascii="Arial" w:eastAsia="MS Gothic" w:hAnsi="Arial"/>
      <w:b/>
      <w:bCs/>
      <w:color w:val="201C50"/>
      <w:szCs w:val="22"/>
      <w:lang w:val="en-US" w:eastAsia="en-US"/>
    </w:rPr>
  </w:style>
  <w:style w:type="paragraph" w:customStyle="1" w:styleId="Title1">
    <w:name w:val="Title 1"/>
    <w:basedOn w:val="Normal"/>
    <w:pPr>
      <w:spacing w:line="254" w:lineRule="auto"/>
      <w:jc w:val="both"/>
    </w:pPr>
    <w:rPr>
      <w:rFonts w:ascii="Century Gothic" w:hAnsi="Century Gothic"/>
      <w:b/>
      <w:color w:val="003591"/>
      <w:sz w:val="28"/>
      <w:szCs w:val="28"/>
      <w:lang w:val="en-US" w:eastAsia="fr-FR"/>
    </w:rPr>
  </w:style>
  <w:style w:type="character" w:customStyle="1" w:styleId="Title1Car">
    <w:name w:val="Title 1 Car"/>
    <w:rPr>
      <w:rFonts w:ascii="Century Gothic" w:hAnsi="Century Gothic" w:cs="Arial"/>
      <w:b/>
      <w:color w:val="003591"/>
      <w:sz w:val="28"/>
      <w:szCs w:val="28"/>
      <w:lang w:val="en-US"/>
    </w:rPr>
  </w:style>
  <w:style w:type="paragraph" w:customStyle="1" w:styleId="Title2">
    <w:name w:val="Title 2"/>
    <w:basedOn w:val="Normal"/>
    <w:next w:val="Normal"/>
    <w:pPr>
      <w:spacing w:line="276" w:lineRule="auto"/>
      <w:jc w:val="both"/>
    </w:pPr>
    <w:rPr>
      <w:rFonts w:ascii="Century Gothic" w:hAnsi="Century Gothic"/>
      <w:b/>
      <w:color w:val="003591"/>
      <w:sz w:val="24"/>
      <w:szCs w:val="24"/>
      <w:lang w:val="en-US"/>
    </w:rPr>
  </w:style>
  <w:style w:type="character" w:customStyle="1" w:styleId="Title2Car">
    <w:name w:val="Title 2 Car"/>
    <w:rPr>
      <w:rFonts w:ascii="Century Gothic" w:hAnsi="Century Gothic" w:cs="Arial"/>
      <w:b/>
      <w:color w:val="003591"/>
      <w:sz w:val="24"/>
      <w:szCs w:val="24"/>
      <w:lang w:val="en-US" w:eastAsia="en-US"/>
    </w:rPr>
  </w:style>
  <w:style w:type="paragraph" w:customStyle="1" w:styleId="BulletLead-in1">
    <w:name w:val="Bullet Lead-in 1"/>
    <w:basedOn w:val="Normal"/>
    <w:pPr>
      <w:spacing w:line="254" w:lineRule="auto"/>
      <w:contextualSpacing/>
      <w:jc w:val="both"/>
    </w:pPr>
    <w:rPr>
      <w:rFonts w:ascii="Century Gothic" w:hAnsi="Century Gothic"/>
      <w:b/>
      <w:color w:val="auto"/>
      <w:lang w:val="en-US"/>
    </w:rPr>
  </w:style>
  <w:style w:type="character" w:customStyle="1" w:styleId="BulletLead-in1Car">
    <w:name w:val="Bullet Lead-in 1 Car"/>
    <w:rPr>
      <w:rFonts w:ascii="Century Gothic" w:hAnsi="Century Gothic" w:cs="Arial"/>
      <w:b/>
      <w:lang w:val="en-US" w:eastAsia="en-US"/>
    </w:rPr>
  </w:style>
  <w:style w:type="paragraph" w:customStyle="1" w:styleId="BulletLead-in2">
    <w:name w:val="Bullet Lead-in 2"/>
    <w:basedOn w:val="Normal"/>
    <w:pPr>
      <w:numPr>
        <w:numId w:val="1"/>
      </w:numPr>
    </w:pPr>
    <w:rPr>
      <w:rFonts w:ascii="Century Gothic" w:hAnsi="Century Gothic"/>
      <w:color w:val="auto"/>
    </w:rPr>
  </w:style>
  <w:style w:type="character" w:customStyle="1" w:styleId="BulletLead-in2Car">
    <w:name w:val="Bullet Lead-in 2 Car"/>
    <w:rPr>
      <w:rFonts w:ascii="Century Gothic" w:hAnsi="Century Gothic"/>
      <w:lang w:eastAsia="en-US"/>
    </w:rPr>
  </w:style>
  <w:style w:type="paragraph" w:styleId="TtuloTDC">
    <w:name w:val="TOC Heading"/>
    <w:basedOn w:val="Ttulo1"/>
    <w:next w:val="Normal"/>
    <w:rPr>
      <w:lang w:eastAsia="fr-FR"/>
    </w:rPr>
  </w:style>
  <w:style w:type="paragraph" w:styleId="Textoindependiente">
    <w:name w:val="Body Text"/>
    <w:basedOn w:val="Normal"/>
    <w:pPr>
      <w:spacing w:after="120" w:line="276" w:lineRule="auto"/>
      <w:ind w:left="708"/>
    </w:pPr>
    <w:rPr>
      <w:color w:val="002060"/>
      <w:szCs w:val="22"/>
      <w:lang w:val="en-US"/>
    </w:rPr>
  </w:style>
  <w:style w:type="character" w:customStyle="1" w:styleId="TextoindependienteCar">
    <w:name w:val="Texto independiente Car"/>
    <w:rPr>
      <w:rFonts w:ascii="Arial" w:eastAsia="Arial" w:hAnsi="Arial"/>
      <w:color w:val="002060"/>
      <w:szCs w:val="22"/>
      <w:lang w:val="en-US" w:eastAsia="en-US"/>
    </w:rPr>
  </w:style>
  <w:style w:type="character" w:customStyle="1" w:styleId="EncabezadoCar">
    <w:name w:val="Encabezado Car"/>
    <w:rPr>
      <w:rFonts w:ascii="Century Gothic" w:hAnsi="Century Gothic"/>
      <w:sz w:val="28"/>
      <w:lang w:eastAsia="en-US"/>
    </w:rPr>
  </w:style>
  <w:style w:type="character" w:styleId="Hipervnculo">
    <w:name w:val="Hyperlink"/>
    <w:rPr>
      <w:color w:val="55517B"/>
    </w:rPr>
  </w:style>
  <w:style w:type="paragraph" w:styleId="Textonotaalfinal">
    <w:name w:val="endnote text"/>
    <w:basedOn w:val="Normal"/>
    <w:pPr>
      <w:spacing w:line="240" w:lineRule="auto"/>
      <w:ind w:left="708"/>
    </w:pPr>
    <w:rPr>
      <w:color w:val="002060"/>
      <w:lang w:val="en-US"/>
    </w:rPr>
  </w:style>
  <w:style w:type="character" w:customStyle="1" w:styleId="TextonotaalfinalCar">
    <w:name w:val="Texto nota al final Car"/>
    <w:rPr>
      <w:rFonts w:ascii="Arial" w:eastAsia="Arial" w:hAnsi="Arial"/>
      <w:color w:val="002060"/>
      <w:lang w:val="en-US" w:eastAsia="en-US"/>
    </w:rPr>
  </w:style>
  <w:style w:type="character" w:styleId="Refdenotaalfinal">
    <w:name w:val="endnote reference"/>
    <w:rPr>
      <w:position w:val="0"/>
      <w:vertAlign w:val="superscript"/>
    </w:rPr>
  </w:style>
  <w:style w:type="character" w:styleId="Refdecomentario">
    <w:name w:val="annotation reference"/>
    <w:rPr>
      <w:sz w:val="16"/>
      <w:szCs w:val="16"/>
    </w:rPr>
  </w:style>
  <w:style w:type="paragraph" w:styleId="Textocomentario">
    <w:name w:val="annotation text"/>
    <w:basedOn w:val="Normal"/>
    <w:pPr>
      <w:spacing w:after="200" w:line="240" w:lineRule="auto"/>
      <w:ind w:left="708"/>
    </w:pPr>
    <w:rPr>
      <w:color w:val="002060"/>
      <w:lang w:val="en-US"/>
    </w:rPr>
  </w:style>
  <w:style w:type="character" w:customStyle="1" w:styleId="TextocomentarioCar">
    <w:name w:val="Texto comentario Car"/>
    <w:rPr>
      <w:rFonts w:ascii="Arial" w:eastAsia="Arial" w:hAnsi="Arial"/>
      <w:color w:val="002060"/>
      <w:lang w:val="en-US" w:eastAsia="en-US"/>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rFonts w:ascii="Arial" w:eastAsia="Arial" w:hAnsi="Arial"/>
      <w:b/>
      <w:bCs/>
      <w:color w:val="002060"/>
      <w:lang w:val="en-US" w:eastAsia="en-US"/>
    </w:rPr>
  </w:style>
  <w:style w:type="paragraph" w:styleId="Revisin">
    <w:name w:val="Revision"/>
    <w:pPr>
      <w:suppressAutoHyphens/>
    </w:pPr>
    <w:rPr>
      <w:color w:val="002060"/>
      <w:szCs w:val="22"/>
      <w:lang w:val="en-US" w:eastAsia="en-US"/>
    </w:rPr>
  </w:style>
  <w:style w:type="character" w:styleId="Hipervnculovisitado">
    <w:name w:val="FollowedHyperlink"/>
    <w:rPr>
      <w:color w:val="0F004E"/>
      <w:u w:val="single"/>
    </w:rPr>
  </w:style>
  <w:style w:type="paragraph" w:customStyle="1" w:styleId="Tablecaptiontext">
    <w:name w:val="Table caption text"/>
    <w:basedOn w:val="Normal"/>
    <w:pPr>
      <w:spacing w:line="260" w:lineRule="exact"/>
      <w:ind w:right="113"/>
    </w:pPr>
    <w:rPr>
      <w:rFonts w:ascii="Century Gothic" w:hAnsi="Century Gothic"/>
      <w:color w:val="auto"/>
      <w:sz w:val="16"/>
      <w:lang w:val="en-GB" w:eastAsia="fr-FR"/>
    </w:rPr>
  </w:style>
  <w:style w:type="paragraph" w:customStyle="1" w:styleId="Tablecolumntitle">
    <w:name w:val="Table column title"/>
    <w:basedOn w:val="Normal"/>
    <w:pPr>
      <w:spacing w:line="260" w:lineRule="exact"/>
      <w:ind w:left="113" w:right="113"/>
      <w:jc w:val="right"/>
    </w:pPr>
    <w:rPr>
      <w:rFonts w:ascii="Century Gothic" w:hAnsi="Century Gothic"/>
      <w:color w:val="auto"/>
      <w:sz w:val="16"/>
      <w:lang w:val="en-GB" w:eastAsia="fr-FR"/>
    </w:rPr>
  </w:style>
  <w:style w:type="character" w:customStyle="1" w:styleId="BoilerPlateChar">
    <w:name w:val="Boiler Plate Char"/>
    <w:rPr>
      <w:rFonts w:ascii="Century Gothic" w:eastAsia="Calibri" w:hAnsi="Century Gothic" w:cs="Calibri"/>
      <w:sz w:val="16"/>
      <w:szCs w:val="14"/>
      <w:lang w:val="en-US" w:eastAsia="en-US"/>
    </w:rPr>
  </w:style>
  <w:style w:type="paragraph" w:customStyle="1" w:styleId="BoilerPlate">
    <w:name w:val="Boiler Plate"/>
    <w:basedOn w:val="Normal"/>
    <w:pPr>
      <w:spacing w:line="254" w:lineRule="auto"/>
      <w:jc w:val="both"/>
    </w:pPr>
    <w:rPr>
      <w:rFonts w:ascii="Century Gothic" w:eastAsia="Calibri" w:hAnsi="Century Gothic" w:cs="Calibri"/>
      <w:color w:val="auto"/>
      <w:sz w:val="16"/>
      <w:szCs w:val="14"/>
      <w:lang w:val="en-US"/>
    </w:rPr>
  </w:style>
  <w:style w:type="paragraph" w:customStyle="1" w:styleId="Pagefooter">
    <w:name w:val="Page footer"/>
    <w:basedOn w:val="Normal"/>
    <w:pPr>
      <w:spacing w:line="200" w:lineRule="exact"/>
      <w:ind w:right="-199"/>
      <w:jc w:val="right"/>
    </w:pPr>
    <w:rPr>
      <w:color w:val="D52B1E"/>
      <w:sz w:val="12"/>
      <w:lang w:eastAsia="fr-FR"/>
    </w:rPr>
  </w:style>
  <w:style w:type="paragraph" w:customStyle="1" w:styleId="Title3">
    <w:name w:val="Title 3"/>
    <w:basedOn w:val="Normal"/>
    <w:pPr>
      <w:spacing w:line="254" w:lineRule="auto"/>
    </w:pPr>
    <w:rPr>
      <w:rFonts w:ascii="Century Gothic" w:hAnsi="Century Gothic"/>
      <w:b/>
      <w:color w:val="003591"/>
      <w:lang w:val="en-US"/>
    </w:rPr>
  </w:style>
  <w:style w:type="character" w:customStyle="1" w:styleId="Title3Car">
    <w:name w:val="Title 3 Car"/>
    <w:basedOn w:val="Fuentedeprrafopredeter"/>
    <w:rPr>
      <w:rFonts w:ascii="Century Gothic" w:hAnsi="Century Gothic" w:cs="Arial"/>
      <w:b/>
      <w:color w:val="003591"/>
      <w:lang w:val="en-US" w:eastAsia="en-US"/>
    </w:rPr>
  </w:style>
  <w:style w:type="paragraph" w:customStyle="1" w:styleId="Lead-in">
    <w:name w:val="Lead-in"/>
    <w:basedOn w:val="Text"/>
  </w:style>
  <w:style w:type="character" w:customStyle="1" w:styleId="Lead-inCar">
    <w:name w:val="Lead-in Car"/>
    <w:basedOn w:val="TextCar"/>
    <w:rPr>
      <w:rFonts w:ascii="Century Gothic" w:hAnsi="Century Gothic" w:cs="Arial"/>
      <w:lang w:val="en-US" w:eastAsia="en-US"/>
    </w:rPr>
  </w:style>
  <w:style w:type="paragraph" w:customStyle="1" w:styleId="BoxBullet1">
    <w:name w:val="Box Bullet 1"/>
    <w:pPr>
      <w:numPr>
        <w:numId w:val="2"/>
      </w:numPr>
      <w:suppressAutoHyphens/>
    </w:pPr>
    <w:rPr>
      <w:rFonts w:ascii="Century Gothic" w:hAnsi="Century Gothic"/>
      <w:b/>
      <w:color w:val="003591"/>
      <w:lang w:val="en-US"/>
    </w:rPr>
  </w:style>
  <w:style w:type="paragraph" w:styleId="Prrafodelista">
    <w:name w:val="List Paragraph"/>
    <w:basedOn w:val="Normal"/>
    <w:uiPriority w:val="34"/>
    <w:qFormat/>
    <w:pPr>
      <w:ind w:left="720"/>
      <w:contextualSpacing/>
    </w:pPr>
  </w:style>
  <w:style w:type="paragraph" w:customStyle="1" w:styleId="BoxBullet2">
    <w:name w:val="Box Bullet 2"/>
    <w:pPr>
      <w:tabs>
        <w:tab w:val="num" w:pos="720"/>
      </w:tabs>
      <w:suppressAutoHyphens/>
      <w:ind w:left="720" w:hanging="720"/>
    </w:pPr>
    <w:rPr>
      <w:rFonts w:ascii="Century Gothic" w:hAnsi="Century Gothic"/>
      <w:lang w:eastAsia="en-US"/>
    </w:rPr>
  </w:style>
  <w:style w:type="character" w:customStyle="1" w:styleId="PrrafodelistaCar">
    <w:name w:val="Párrafo de lista Car"/>
    <w:rPr>
      <w:rFonts w:ascii="Arial" w:hAnsi="Arial"/>
      <w:color w:val="11204C"/>
      <w:lang w:eastAsia="en-US"/>
    </w:rPr>
  </w:style>
  <w:style w:type="paragraph" w:styleId="NormalWeb">
    <w:name w:val="Normal (Web)"/>
    <w:basedOn w:val="Normal"/>
    <w:uiPriority w:val="99"/>
    <w:pPr>
      <w:spacing w:line="240" w:lineRule="auto"/>
    </w:pPr>
    <w:rPr>
      <w:rFonts w:ascii="Calibri" w:eastAsia="Century Gothic" w:hAnsi="Calibri" w:cs="Calibri"/>
      <w:color w:val="auto"/>
      <w:sz w:val="22"/>
      <w:szCs w:val="22"/>
      <w:lang w:val="en-US" w:eastAsia="fr-FR"/>
    </w:rPr>
  </w:style>
  <w:style w:type="paragraph" w:customStyle="1" w:styleId="paragraph">
    <w:name w:val="paragraph"/>
    <w:basedOn w:val="Normal"/>
    <w:pPr>
      <w:spacing w:before="100" w:after="100" w:line="240" w:lineRule="auto"/>
    </w:pPr>
    <w:rPr>
      <w:rFonts w:ascii="Times New Roman" w:hAnsi="Times New Roman"/>
      <w:color w:val="auto"/>
      <w:sz w:val="24"/>
      <w:szCs w:val="24"/>
      <w:lang w:eastAsia="fr-FR"/>
    </w:rPr>
  </w:style>
  <w:style w:type="character" w:customStyle="1" w:styleId="normaltextrun">
    <w:name w:val="normaltextrun"/>
    <w:basedOn w:val="Fuentedeprrafopredeter"/>
  </w:style>
  <w:style w:type="character" w:customStyle="1" w:styleId="eop">
    <w:name w:val="eop"/>
    <w:basedOn w:val="Fuentedeprrafopredeter"/>
  </w:style>
  <w:style w:type="character" w:styleId="Mencinsinresolver">
    <w:name w:val="Unresolved Mention"/>
    <w:basedOn w:val="Fuentedeprrafopredeter"/>
    <w:rPr>
      <w:color w:val="605E5C"/>
      <w:shd w:val="clear" w:color="auto" w:fill="E1DFDD"/>
    </w:rPr>
  </w:style>
  <w:style w:type="numbering" w:customStyle="1" w:styleId="LFO10">
    <w:name w:val="LFO10"/>
    <w:basedOn w:val="Sinlista"/>
  </w:style>
  <w:style w:type="numbering" w:customStyle="1" w:styleId="LFO19">
    <w:name w:val="LFO19"/>
    <w:basedOn w:val="Sinlista"/>
  </w:style>
  <w:style w:type="numbering" w:customStyle="1" w:styleId="LFO20">
    <w:name w:val="LFO20"/>
    <w:basedOn w:val="Sinlist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nil"/>
      <w:tblCellMar>
        <w:left w:w="10" w:type="dxa"/>
        <w:right w:w="10" w:type="dxa"/>
      </w:tblCellMar>
    </w:tblPr>
  </w:style>
  <w:style w:type="table" w:customStyle="1" w:styleId="TableNormal1">
    <w:name w:val="Table Normal1"/>
    <w:rsid w:val="007A4627"/>
    <w:tblPr>
      <w:tblCellMar>
        <w:top w:w="0" w:type="dxa"/>
        <w:left w:w="0" w:type="dxa"/>
        <w:bottom w:w="0" w:type="dxa"/>
        <w:right w:w="0" w:type="dxa"/>
      </w:tblCellMar>
    </w:tblPr>
  </w:style>
  <w:style w:type="character" w:styleId="Fuerte">
    <w:name w:val="Strong"/>
    <w:basedOn w:val="Fuentedeprrafopredeter"/>
    <w:uiPriority w:val="22"/>
    <w:qFormat/>
    <w:rsid w:val="00352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681">
      <w:bodyDiv w:val="1"/>
      <w:marLeft w:val="0"/>
      <w:marRight w:val="0"/>
      <w:marTop w:val="0"/>
      <w:marBottom w:val="0"/>
      <w:divBdr>
        <w:top w:val="none" w:sz="0" w:space="0" w:color="auto"/>
        <w:left w:val="none" w:sz="0" w:space="0" w:color="auto"/>
        <w:bottom w:val="none" w:sz="0" w:space="0" w:color="auto"/>
        <w:right w:val="none" w:sz="0" w:space="0" w:color="auto"/>
      </w:divBdr>
    </w:div>
    <w:div w:id="155341214">
      <w:bodyDiv w:val="1"/>
      <w:marLeft w:val="0"/>
      <w:marRight w:val="0"/>
      <w:marTop w:val="0"/>
      <w:marBottom w:val="0"/>
      <w:divBdr>
        <w:top w:val="none" w:sz="0" w:space="0" w:color="auto"/>
        <w:left w:val="none" w:sz="0" w:space="0" w:color="auto"/>
        <w:bottom w:val="none" w:sz="0" w:space="0" w:color="auto"/>
        <w:right w:val="none" w:sz="0" w:space="0" w:color="auto"/>
      </w:divBdr>
    </w:div>
    <w:div w:id="160239055">
      <w:bodyDiv w:val="1"/>
      <w:marLeft w:val="0"/>
      <w:marRight w:val="0"/>
      <w:marTop w:val="0"/>
      <w:marBottom w:val="0"/>
      <w:divBdr>
        <w:top w:val="none" w:sz="0" w:space="0" w:color="auto"/>
        <w:left w:val="none" w:sz="0" w:space="0" w:color="auto"/>
        <w:bottom w:val="none" w:sz="0" w:space="0" w:color="auto"/>
        <w:right w:val="none" w:sz="0" w:space="0" w:color="auto"/>
      </w:divBdr>
    </w:div>
    <w:div w:id="215506697">
      <w:bodyDiv w:val="1"/>
      <w:marLeft w:val="0"/>
      <w:marRight w:val="0"/>
      <w:marTop w:val="0"/>
      <w:marBottom w:val="0"/>
      <w:divBdr>
        <w:top w:val="none" w:sz="0" w:space="0" w:color="auto"/>
        <w:left w:val="none" w:sz="0" w:space="0" w:color="auto"/>
        <w:bottom w:val="none" w:sz="0" w:space="0" w:color="auto"/>
        <w:right w:val="none" w:sz="0" w:space="0" w:color="auto"/>
      </w:divBdr>
    </w:div>
    <w:div w:id="254632900">
      <w:bodyDiv w:val="1"/>
      <w:marLeft w:val="0"/>
      <w:marRight w:val="0"/>
      <w:marTop w:val="0"/>
      <w:marBottom w:val="0"/>
      <w:divBdr>
        <w:top w:val="none" w:sz="0" w:space="0" w:color="auto"/>
        <w:left w:val="none" w:sz="0" w:space="0" w:color="auto"/>
        <w:bottom w:val="none" w:sz="0" w:space="0" w:color="auto"/>
        <w:right w:val="none" w:sz="0" w:space="0" w:color="auto"/>
      </w:divBdr>
    </w:div>
    <w:div w:id="345254115">
      <w:bodyDiv w:val="1"/>
      <w:marLeft w:val="0"/>
      <w:marRight w:val="0"/>
      <w:marTop w:val="0"/>
      <w:marBottom w:val="0"/>
      <w:divBdr>
        <w:top w:val="none" w:sz="0" w:space="0" w:color="auto"/>
        <w:left w:val="none" w:sz="0" w:space="0" w:color="auto"/>
        <w:bottom w:val="none" w:sz="0" w:space="0" w:color="auto"/>
        <w:right w:val="none" w:sz="0" w:space="0" w:color="auto"/>
      </w:divBdr>
    </w:div>
    <w:div w:id="429161399">
      <w:bodyDiv w:val="1"/>
      <w:marLeft w:val="0"/>
      <w:marRight w:val="0"/>
      <w:marTop w:val="0"/>
      <w:marBottom w:val="0"/>
      <w:divBdr>
        <w:top w:val="none" w:sz="0" w:space="0" w:color="auto"/>
        <w:left w:val="none" w:sz="0" w:space="0" w:color="auto"/>
        <w:bottom w:val="none" w:sz="0" w:space="0" w:color="auto"/>
        <w:right w:val="none" w:sz="0" w:space="0" w:color="auto"/>
      </w:divBdr>
    </w:div>
    <w:div w:id="723723622">
      <w:bodyDiv w:val="1"/>
      <w:marLeft w:val="0"/>
      <w:marRight w:val="0"/>
      <w:marTop w:val="0"/>
      <w:marBottom w:val="0"/>
      <w:divBdr>
        <w:top w:val="none" w:sz="0" w:space="0" w:color="auto"/>
        <w:left w:val="none" w:sz="0" w:space="0" w:color="auto"/>
        <w:bottom w:val="none" w:sz="0" w:space="0" w:color="auto"/>
        <w:right w:val="none" w:sz="0" w:space="0" w:color="auto"/>
      </w:divBdr>
    </w:div>
    <w:div w:id="1255362285">
      <w:bodyDiv w:val="1"/>
      <w:marLeft w:val="0"/>
      <w:marRight w:val="0"/>
      <w:marTop w:val="0"/>
      <w:marBottom w:val="0"/>
      <w:divBdr>
        <w:top w:val="none" w:sz="0" w:space="0" w:color="auto"/>
        <w:left w:val="none" w:sz="0" w:space="0" w:color="auto"/>
        <w:bottom w:val="none" w:sz="0" w:space="0" w:color="auto"/>
        <w:right w:val="none" w:sz="0" w:space="0" w:color="auto"/>
      </w:divBdr>
    </w:div>
    <w:div w:id="1673532304">
      <w:bodyDiv w:val="1"/>
      <w:marLeft w:val="0"/>
      <w:marRight w:val="0"/>
      <w:marTop w:val="0"/>
      <w:marBottom w:val="0"/>
      <w:divBdr>
        <w:top w:val="none" w:sz="0" w:space="0" w:color="auto"/>
        <w:left w:val="none" w:sz="0" w:space="0" w:color="auto"/>
        <w:bottom w:val="none" w:sz="0" w:space="0" w:color="auto"/>
        <w:right w:val="none" w:sz="0" w:space="0" w:color="auto"/>
      </w:divBdr>
    </w:div>
    <w:div w:id="2057386960">
      <w:bodyDiv w:val="1"/>
      <w:marLeft w:val="0"/>
      <w:marRight w:val="0"/>
      <w:marTop w:val="0"/>
      <w:marBottom w:val="0"/>
      <w:divBdr>
        <w:top w:val="none" w:sz="0" w:space="0" w:color="auto"/>
        <w:left w:val="none" w:sz="0" w:space="0" w:color="auto"/>
        <w:bottom w:val="none" w:sz="0" w:space="0" w:color="auto"/>
        <w:right w:val="none" w:sz="0" w:space="0" w:color="auto"/>
      </w:divBdr>
    </w:div>
    <w:div w:id="2135638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defense.com/v3/__https:/www.culturaemprende.com/casi-la-mitad-de-los-espanoles-llega-al-verano-sin-flexibilidad-laboral__;!!EyGG_rL3!ETmDAYQ8378O-uJiTqSAYgbiZu7uWpxKJ2fcZvZ_Iz7sFFQKYEpd8IgCeeh5oZBtNB71y8WTd0pT0pKDJCT-egWX2tv9pKDAu7qOz6VOKw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defense.com/v3/__https:/www.altodirectivo.com/secciones/actualidad/32227/Noticias-Actualidad-Empleo-Flexibilidad-laboral-Espana__;!!EyGG_rL3!DKIoJuXS9GbyCpuiYshIWF2oun5qSi_BezIVVPXj9dHVMno_Atm7jmRnCwhkkuWfrMPgASpTkjD08haF-hpcp-iuh-OqxAvzkQxpDK66D_j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todirectivo.com/secciones/actualidad/32227/Noticias-Actualidad-Empleo-Flexibilidad-laboral-Espan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quipo.edenred@newlink-group.com" TargetMode="External"/><Relationship Id="rId4" Type="http://schemas.openxmlformats.org/officeDocument/2006/relationships/settings" Target="settings.xml"/><Relationship Id="rId9" Type="http://schemas.openxmlformats.org/officeDocument/2006/relationships/hyperlink" Target="mailto:alejandro.delgadosanchez@edenred.com" TargetMode="External"/><Relationship Id="rId14" Type="http://schemas.openxmlformats.org/officeDocument/2006/relationships/hyperlink" Target="https://urldefense.com/v3/__https:/factorhumano.es/casi-la-mitad-de-los-profesionales-afronta-el-verano-con-poca-o-ninguna-flexibilidad-laboral/__;!!EyGG_rL3!ETmDAYQ8378O-uJiTqSAYgbiZu7uWpxKJ2fcZvZ_Iz7sFFQKYEpd8IgCeeh5oZBtNB71y8WTd0pT0pKDJCT-egWX2tv9pKDAu7qOz31PWx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4bHXuFG8ZK1f8jUvsxeC2OwKQ==">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72921c98-1775-47af-8cbd-4178e32c8fb6}" enabled="1" method="Privileged" siteId="{4c1d9e0f-5c27-4228-a35a-de7b4083ff7b}"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1548</Words>
  <Characters>8516</Characters>
  <Application>Microsoft Office Word</Application>
  <DocSecurity>0</DocSecurity>
  <Lines>70</Lines>
  <Paragraphs>20</Paragraphs>
  <ScaleCrop>false</ScaleCrop>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COURTOIS Cécile</dc:creator>
  <cp:keywords/>
  <cp:lastModifiedBy>SÁNCHEZ Míriam</cp:lastModifiedBy>
  <cp:revision>792</cp:revision>
  <dcterms:created xsi:type="dcterms:W3CDTF">2026-07-14T11:31:00Z</dcterms:created>
  <dcterms:modified xsi:type="dcterms:W3CDTF">2026-08-20T10:40:00Z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0x010100C507B8DFC332A440B799D44257F07BA7</vt:lpwstr>
  </property>
  <property fmtid="{D5CDD505-2E9C-101B-9397-08002B2CF9AE}" pid="3" name="GrammarlyDocumentId">
    <vt:lpwstr>797d063b200a87c27582bd0be5c9c9e5374e71033a601ec6e631990873192edf</vt:lpwstr>
  </property>
  <property fmtid="{D5CDD505-2E9C-101B-9397-08002B2CF9AE}" pid="4" name="MSIP_Label_72921c98-1775-47af-8cbd-4178e32c8fb6_Enabled">
    <vt:lpwstr>true</vt:lpwstr>
  </property>
  <property fmtid="{D5CDD505-2E9C-101B-9397-08002B2CF9AE}" pid="5" name="MSIP_Label_72921c98-1775-47af-8cbd-4178e32c8fb6_SetDate">
    <vt:lpwstr>2026-07-14T11:31:55Z</vt:lpwstr>
  </property>
  <property fmtid="{D5CDD505-2E9C-101B-9397-08002B2CF9AE}" pid="6" name="MSIP_Label_72921c98-1775-47af-8cbd-4178e32c8fb6_Method">
    <vt:lpwstr>Privileged</vt:lpwstr>
  </property>
  <property fmtid="{D5CDD505-2E9C-101B-9397-08002B2CF9AE}" pid="7" name="MSIP_Label_72921c98-1775-47af-8cbd-4178e32c8fb6_Name">
    <vt:lpwstr>C1 - Public</vt:lpwstr>
  </property>
  <property fmtid="{D5CDD505-2E9C-101B-9397-08002B2CF9AE}" pid="8" name="MSIP_Label_72921c98-1775-47af-8cbd-4178e32c8fb6_SiteId">
    <vt:lpwstr>4c1d9e0f-5c27-4228-a35a-de7b4083ff7b</vt:lpwstr>
  </property>
  <property fmtid="{D5CDD505-2E9C-101B-9397-08002B2CF9AE}" pid="9" name="MSIP_Label_72921c98-1775-47af-8cbd-4178e32c8fb6_ActionId">
    <vt:lpwstr>e65e8741-cc8a-4e70-807b-ea84c7f260ef</vt:lpwstr>
  </property>
  <property fmtid="{D5CDD505-2E9C-101B-9397-08002B2CF9AE}" pid="10" name="MSIP_Label_72921c98-1775-47af-8cbd-4178e32c8fb6_ContentBits">
    <vt:lpwstr>0</vt:lpwstr>
  </property>
  <property fmtid="{D5CDD505-2E9C-101B-9397-08002B2CF9AE}" pid="11" name="MSIP_Label_72921c98-1775-47af-8cbd-4178e32c8fb6_Tag">
    <vt:lpwstr>10, 0, 1, 2</vt:lpwstr>
  </property>
</Properties>
</file>