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63F1" w14:textId="36B3B8A3" w:rsidR="0034131E" w:rsidRPr="00833D4F" w:rsidRDefault="006E722E">
      <w:pPr>
        <w:pBdr>
          <w:top w:val="nil"/>
          <w:left w:val="nil"/>
          <w:bottom w:val="nil"/>
          <w:right w:val="nil"/>
          <w:between w:val="nil"/>
        </w:pBdr>
        <w:tabs>
          <w:tab w:val="left" w:pos="996"/>
          <w:tab w:val="right" w:pos="8504"/>
        </w:tabs>
        <w:spacing w:line="254" w:lineRule="auto"/>
        <w:jc w:val="right"/>
        <w:rPr>
          <w:rFonts w:ascii="Century Gothic" w:eastAsia="Century Gothic" w:hAnsi="Century Gothic" w:cs="Century Gothic"/>
          <w:color w:val="000000"/>
          <w:sz w:val="28"/>
          <w:szCs w:val="28"/>
          <w:lang w:val="es-ES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0CF9CF7E" wp14:editId="4092B481">
            <wp:simplePos x="0" y="0"/>
            <wp:positionH relativeFrom="margin">
              <wp:align>left</wp:align>
            </wp:positionH>
            <wp:positionV relativeFrom="paragraph">
              <wp:posOffset>-213995</wp:posOffset>
            </wp:positionV>
            <wp:extent cx="1047750" cy="638175"/>
            <wp:effectExtent l="0" t="0" r="0" b="9525"/>
            <wp:wrapNone/>
            <wp:docPr id="82793767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0F9" w:rsidRPr="0721B038">
        <w:rPr>
          <w:rFonts w:ascii="Century Gothic" w:eastAsia="Century Gothic" w:hAnsi="Century Gothic" w:cs="Century Gothic"/>
          <w:b/>
          <w:bCs/>
          <w:color w:val="000000"/>
          <w:sz w:val="28"/>
          <w:szCs w:val="28"/>
          <w:lang w:val="es-ES"/>
        </w:rPr>
        <w:t>Nota de prensa</w:t>
      </w:r>
    </w:p>
    <w:p w14:paraId="2721C22F" w14:textId="2C6554E8" w:rsidR="0034131E" w:rsidRPr="00833D4F" w:rsidRDefault="00A14BDA" w:rsidP="0721B03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right"/>
        <w:rPr>
          <w:rFonts w:ascii="Century Gothic" w:eastAsia="Century Gothic" w:hAnsi="Century Gothic" w:cs="Century Gothic"/>
          <w:color w:val="000000" w:themeColor="text1"/>
          <w:sz w:val="28"/>
          <w:szCs w:val="28"/>
          <w:lang w:val="es-ES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6</w:t>
      </w:r>
      <w:r w:rsidR="59600E17" w:rsidRPr="0721B03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 xml:space="preserve"> </w:t>
      </w:r>
      <w:r w:rsidR="00E660F9" w:rsidRPr="0721B03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de</w:t>
      </w:r>
      <w:r w:rsidR="00CF6A68" w:rsidRPr="0721B03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 xml:space="preserve"> </w:t>
      </w:r>
      <w:r w:rsidR="001149F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octubre</w:t>
      </w:r>
      <w:r w:rsidR="5CA98C24" w:rsidRPr="0721B03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 xml:space="preserve"> </w:t>
      </w:r>
      <w:r w:rsidR="00E660F9" w:rsidRPr="0721B03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de 202</w:t>
      </w:r>
      <w:r w:rsidR="00316012" w:rsidRPr="0721B038">
        <w:rPr>
          <w:rFonts w:ascii="Century Gothic" w:eastAsia="Century Gothic" w:hAnsi="Century Gothic" w:cs="Century Gothic"/>
          <w:color w:val="000000" w:themeColor="text1"/>
          <w:sz w:val="22"/>
          <w:szCs w:val="22"/>
          <w:lang w:val="es-ES"/>
        </w:rPr>
        <w:t>6</w:t>
      </w:r>
    </w:p>
    <w:p w14:paraId="5523504D" w14:textId="523A13E6" w:rsidR="0034131E" w:rsidRPr="00833D4F" w:rsidRDefault="0034131E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709" w:hanging="709"/>
        <w:jc w:val="center"/>
        <w:rPr>
          <w:rFonts w:ascii="Century Gothic" w:eastAsia="Century Gothic" w:hAnsi="Century Gothic" w:cs="Century Gothic"/>
          <w:color w:val="162056"/>
          <w:sz w:val="48"/>
          <w:szCs w:val="48"/>
          <w:lang w:val="es-ES"/>
        </w:rPr>
      </w:pPr>
    </w:p>
    <w:p w14:paraId="76B62C53" w14:textId="60F59349" w:rsidR="0062434C" w:rsidRPr="00A00233" w:rsidRDefault="00C36BB2" w:rsidP="001370DF">
      <w:pPr>
        <w:pStyle w:val="BulletLead-in2"/>
        <w:numPr>
          <w:ilvl w:val="0"/>
          <w:numId w:val="0"/>
        </w:numPr>
        <w:jc w:val="center"/>
        <w:rPr>
          <w:rFonts w:eastAsia="Century Gothic" w:cs="Century Gothic"/>
          <w:color w:val="000000" w:themeColor="text1"/>
          <w:sz w:val="44"/>
          <w:szCs w:val="44"/>
          <w:lang w:val="es-ES"/>
        </w:rPr>
      </w:pPr>
      <w:r w:rsidRPr="00A00233">
        <w:rPr>
          <w:rFonts w:eastAsia="Century Gothic" w:cs="Century Gothic"/>
          <w:color w:val="000000" w:themeColor="text1"/>
          <w:sz w:val="44"/>
          <w:szCs w:val="44"/>
          <w:lang w:val="es-ES"/>
        </w:rPr>
        <w:t>1 de cada 4 españoles ya destina más del 30 % de sus ingresos a alimentación</w:t>
      </w:r>
    </w:p>
    <w:p w14:paraId="57F5146B" w14:textId="77777777" w:rsidR="00C36BB2" w:rsidRPr="00C36BB2" w:rsidRDefault="00C36BB2" w:rsidP="001370DF">
      <w:pPr>
        <w:pStyle w:val="BulletLead-in2"/>
        <w:numPr>
          <w:ilvl w:val="0"/>
          <w:numId w:val="0"/>
        </w:numPr>
        <w:jc w:val="center"/>
        <w:rPr>
          <w:rFonts w:cs="Century Gothic"/>
          <w:color w:val="000000" w:themeColor="text1"/>
          <w:sz w:val="44"/>
          <w:szCs w:val="44"/>
          <w:lang w:val="es-ES"/>
        </w:rPr>
      </w:pPr>
    </w:p>
    <w:p w14:paraId="00167631" w14:textId="10B6E86C" w:rsidR="00845257" w:rsidRDefault="00845257" w:rsidP="00845257">
      <w:pPr>
        <w:pStyle w:val="BulletLead-in2"/>
        <w:jc w:val="both"/>
        <w:rPr>
          <w:rFonts w:eastAsia="Century Gothic" w:cs="Century Gothic"/>
          <w:b/>
          <w:bCs/>
          <w:lang w:val="es-ES"/>
        </w:rPr>
      </w:pPr>
      <w:r w:rsidRPr="00845257">
        <w:rPr>
          <w:rFonts w:eastAsia="Century Gothic" w:cs="Century Gothic"/>
          <w:b/>
          <w:bCs/>
          <w:lang w:val="es-ES"/>
        </w:rPr>
        <w:t>Comer equilibrado se consolida como norma: el 88 % presta atención a su alimentación y el 85 % espera encontrar una oferta más saludable cuando come fuera de casa</w:t>
      </w:r>
    </w:p>
    <w:p w14:paraId="795407CD" w14:textId="0D7DE6BD" w:rsidR="00EC2C2D" w:rsidRPr="00EC2C2D" w:rsidRDefault="0014151E" w:rsidP="00EC2C2D">
      <w:pPr>
        <w:pStyle w:val="BulletLead-in2"/>
        <w:rPr>
          <w:rFonts w:eastAsia="Century Gothic" w:cs="Century Gothic"/>
          <w:b/>
          <w:bCs/>
          <w:lang w:val="es-ES"/>
        </w:rPr>
      </w:pPr>
      <w:r w:rsidRPr="0014151E">
        <w:rPr>
          <w:b/>
          <w:bCs/>
          <w:lang w:val="es-ES"/>
        </w:rPr>
        <w:t xml:space="preserve">A la hora de elegir restaurante, pesan especialmente la calidad-precio (90 %), la proximidad (88 %) y la aceptación de </w:t>
      </w:r>
      <w:r>
        <w:rPr>
          <w:b/>
          <w:bCs/>
          <w:lang w:val="es-ES"/>
        </w:rPr>
        <w:t>Ticket Restaurant</w:t>
      </w:r>
      <w:r w:rsidRPr="0014151E">
        <w:rPr>
          <w:b/>
          <w:bCs/>
          <w:lang w:val="es-ES"/>
        </w:rPr>
        <w:t xml:space="preserve"> (84 %)</w:t>
      </w:r>
    </w:p>
    <w:p w14:paraId="16747808" w14:textId="77777777" w:rsidR="0014151E" w:rsidRDefault="0014151E" w:rsidP="0014151E">
      <w:pPr>
        <w:pStyle w:val="BulletLead-in2"/>
        <w:numPr>
          <w:ilvl w:val="0"/>
          <w:numId w:val="0"/>
        </w:numPr>
        <w:ind w:left="720"/>
        <w:jc w:val="both"/>
        <w:rPr>
          <w:rFonts w:eastAsia="Century Gothic" w:cs="Century Gothic"/>
          <w:b/>
          <w:bCs/>
          <w:lang w:val="es-ES"/>
        </w:rPr>
      </w:pPr>
    </w:p>
    <w:p w14:paraId="3D8557B5" w14:textId="312F975A" w:rsidR="00957865" w:rsidRPr="00957865" w:rsidRDefault="00957865" w:rsidP="00957865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  <w:r w:rsidRPr="00957865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La alimentación gana peso en el presupuesto de los españoles, pero también en la importancia que le conceden en su día a día. </w:t>
      </w:r>
      <w:r w:rsidR="00786893" w:rsidRPr="00A00233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Uno de cada cuatro españoles ya destina más del 30 % de sus ingresos a alimentación, mientras que solo el 23 % estaría dispuesto a reducir este gasto.</w:t>
      </w:r>
    </w:p>
    <w:p w14:paraId="7AF64079" w14:textId="77777777" w:rsidR="00D676DA" w:rsidRPr="0086068E" w:rsidRDefault="00D676DA" w:rsidP="0086068E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64611A54" w14:textId="60B1F159" w:rsidR="00972EE6" w:rsidRPr="00663CBD" w:rsidRDefault="007F7F24" w:rsidP="002026F3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</w:pPr>
      <w:r w:rsidRPr="00663C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Así lo recoge el </w:t>
      </w:r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 xml:space="preserve">Barómetro FOOD 2026 de Edenred, plataforma digital </w:t>
      </w:r>
      <w:proofErr w:type="spellStart"/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multisolución</w:t>
      </w:r>
      <w:proofErr w:type="spellEnd"/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 xml:space="preserve"> especializada en beneficios sociales y </w:t>
      </w:r>
      <w:proofErr w:type="spellStart"/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employee</w:t>
      </w:r>
      <w:proofErr w:type="spellEnd"/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 xml:space="preserve"> </w:t>
      </w:r>
      <w:proofErr w:type="spellStart"/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engagement</w:t>
      </w:r>
      <w:proofErr w:type="spellEnd"/>
      <w:r w:rsidRPr="00663C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, realizado con la participación de </w:t>
      </w:r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Hostelería de España y la Fundación Española de la Nutrición</w:t>
      </w:r>
      <w:r w:rsidRPr="00663C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. </w:t>
      </w:r>
      <w:r w:rsidR="003D603D" w:rsidRPr="00663CBD">
        <w:rPr>
          <w:rFonts w:ascii="Century Gothic" w:eastAsia="Century Gothic" w:hAnsi="Century Gothic" w:cs="Century Gothic"/>
          <w:color w:val="000000" w:themeColor="text1"/>
          <w:lang w:val="es-ES"/>
        </w:rPr>
        <w:t>Los resultados dibujan un escenario claro:</w:t>
      </w:r>
      <w:r w:rsidR="00371792" w:rsidRPr="00663C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 </w:t>
      </w:r>
      <w:r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la alimentación adquiere cada vez más importancia y esa prioridad redefine también qué esperan los consumidores cuando comen fuera de casa.</w:t>
      </w:r>
    </w:p>
    <w:p w14:paraId="47D212EA" w14:textId="77777777" w:rsidR="007F7F24" w:rsidRPr="002026F3" w:rsidRDefault="007F7F24" w:rsidP="002026F3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77545908" w14:textId="7E0440AF" w:rsidR="005D00A9" w:rsidRDefault="005D00A9" w:rsidP="005D00A9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  <w:r w:rsidRPr="005D00A9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Comer equilibrado deja de ser un </w:t>
      </w:r>
      <w:r w:rsidR="00D77823">
        <w:rPr>
          <w:rFonts w:ascii="Century Gothic" w:eastAsia="Century Gothic" w:hAnsi="Century Gothic" w:cs="Century Gothic"/>
          <w:b/>
          <w:bCs/>
          <w:color w:val="000000"/>
          <w:lang w:val="es-ES"/>
        </w:rPr>
        <w:t>extra</w:t>
      </w:r>
    </w:p>
    <w:p w14:paraId="2C3CD13A" w14:textId="77777777" w:rsidR="005D00A9" w:rsidRPr="005D00A9" w:rsidRDefault="005D00A9" w:rsidP="005D00A9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</w:p>
    <w:p w14:paraId="5B148289" w14:textId="77777777" w:rsidR="00D72C52" w:rsidRDefault="00D72C52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  <w:r w:rsidRPr="00D72C52">
        <w:rPr>
          <w:rFonts w:ascii="Century Gothic" w:eastAsia="Century Gothic" w:hAnsi="Century Gothic" w:cs="Century Gothic"/>
          <w:b/>
          <w:bCs/>
          <w:color w:val="000000"/>
          <w:lang w:val="es-ES"/>
        </w:rPr>
        <w:t>El 88 % de los españoles afirma prestar atención a comer de forma equilibrada</w:t>
      </w:r>
      <w:r w:rsidRPr="00D72C52">
        <w:rPr>
          <w:rFonts w:ascii="Century Gothic" w:eastAsia="Century Gothic" w:hAnsi="Century Gothic" w:cs="Century Gothic"/>
          <w:color w:val="000000"/>
          <w:lang w:val="es-ES"/>
        </w:rPr>
        <w:t>, frente al 75 % registrado en 2023. Son 13 puntos porcentuales más en cuatro años, lo que refleja una consolidación de la alimentación saludable como hábito.</w:t>
      </w:r>
    </w:p>
    <w:p w14:paraId="41444041" w14:textId="77777777" w:rsidR="00D72C52" w:rsidRPr="00D72C52" w:rsidRDefault="00D72C52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3CE0958A" w14:textId="77777777" w:rsidR="00D72C52" w:rsidRDefault="00D72C52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  <w:r w:rsidRPr="00D72C52">
        <w:rPr>
          <w:rFonts w:ascii="Century Gothic" w:eastAsia="Century Gothic" w:hAnsi="Century Gothic" w:cs="Century Gothic"/>
          <w:color w:val="000000"/>
          <w:lang w:val="es-ES"/>
        </w:rPr>
        <w:t xml:space="preserve">Esta preocupación trasciende el ámbito doméstico. </w:t>
      </w:r>
      <w:r w:rsidRPr="00D72C52">
        <w:rPr>
          <w:rFonts w:ascii="Century Gothic" w:eastAsia="Century Gothic" w:hAnsi="Century Gothic" w:cs="Century Gothic"/>
          <w:b/>
          <w:bCs/>
          <w:color w:val="000000"/>
          <w:lang w:val="es-ES"/>
        </w:rPr>
        <w:t>El 85 % espera encontrar una oferta más saludable en los restaurantes</w:t>
      </w:r>
      <w:r w:rsidRPr="00D72C52">
        <w:rPr>
          <w:rFonts w:ascii="Century Gothic" w:eastAsia="Century Gothic" w:hAnsi="Century Gothic" w:cs="Century Gothic"/>
          <w:color w:val="000000"/>
          <w:lang w:val="es-ES"/>
        </w:rPr>
        <w:t>, elevando la exigencia sobre la restauración y convirtiendo las opciones saludables en un elemento cada vez más integrado en la experiencia de consumo.</w:t>
      </w:r>
    </w:p>
    <w:p w14:paraId="2B62F38B" w14:textId="77777777" w:rsidR="00D72C52" w:rsidRPr="00D72C52" w:rsidRDefault="00D72C52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0ED5ABD3" w14:textId="77777777" w:rsidR="00D72C52" w:rsidRDefault="00D72C52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  <w:r w:rsidRPr="00D72C52">
        <w:rPr>
          <w:rFonts w:ascii="Century Gothic" w:eastAsia="Century Gothic" w:hAnsi="Century Gothic" w:cs="Century Gothic"/>
          <w:color w:val="000000"/>
          <w:lang w:val="es-ES"/>
        </w:rPr>
        <w:t xml:space="preserve">Y la idea de qué significa comer saludable también está evolucionando. Los consumidores ponen el foco en elementos visibles y reconocibles en el plato: </w:t>
      </w:r>
      <w:r w:rsidRPr="00D72C52">
        <w:rPr>
          <w:rFonts w:ascii="Century Gothic" w:eastAsia="Century Gothic" w:hAnsi="Century Gothic" w:cs="Century Gothic"/>
          <w:b/>
          <w:bCs/>
          <w:color w:val="000000"/>
          <w:lang w:val="es-ES"/>
        </w:rPr>
        <w:t>el 92 % valora las cocciones ligeras y el 88 % las verduras frescas</w:t>
      </w:r>
      <w:r w:rsidRPr="00D72C52">
        <w:rPr>
          <w:rFonts w:ascii="Century Gothic" w:eastAsia="Century Gothic" w:hAnsi="Century Gothic" w:cs="Century Gothic"/>
          <w:color w:val="000000"/>
          <w:lang w:val="es-ES"/>
        </w:rPr>
        <w:t xml:space="preserve">. Al mismo tiempo, crece con fuerza la demanda de alternativas vegetales: </w:t>
      </w:r>
      <w:r w:rsidRPr="00D72C52">
        <w:rPr>
          <w:rFonts w:ascii="Century Gothic" w:eastAsia="Century Gothic" w:hAnsi="Century Gothic" w:cs="Century Gothic"/>
          <w:b/>
          <w:bCs/>
          <w:color w:val="000000"/>
          <w:lang w:val="es-ES"/>
        </w:rPr>
        <w:t>las opciones vegetarianas y veganas pasan del 35 % al 53 % en solo un año</w:t>
      </w:r>
      <w:r w:rsidRPr="00D72C52">
        <w:rPr>
          <w:rFonts w:ascii="Century Gothic" w:eastAsia="Century Gothic" w:hAnsi="Century Gothic" w:cs="Century Gothic"/>
          <w:color w:val="000000"/>
          <w:lang w:val="es-ES"/>
        </w:rPr>
        <w:t>, un incremento de 18 puntos porcentuales.</w:t>
      </w:r>
    </w:p>
    <w:p w14:paraId="3F3B1C96" w14:textId="77777777" w:rsidR="00665DC6" w:rsidRDefault="00665DC6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609EFFEB" w14:textId="6CA27EB8" w:rsidR="00665DC6" w:rsidRPr="00665DC6" w:rsidRDefault="6E0BBC7E" w:rsidP="4EF08E9B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  <w:r w:rsidRPr="00663CBD">
        <w:rPr>
          <w:rFonts w:ascii="Century Gothic" w:eastAsia="Century Gothic" w:hAnsi="Century Gothic" w:cs="Century Gothic"/>
          <w:color w:val="000000" w:themeColor="text1"/>
          <w:lang w:val="es-ES"/>
        </w:rPr>
        <w:t>Una vez incorporada la alimentación saludable entre las expectativas básicas, otros factores adquieren mayor peso a la hora de escoger dónde comer</w:t>
      </w:r>
      <w:r w:rsidRPr="4EF08E9B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. </w:t>
      </w:r>
      <w:r w:rsidR="7EACD844" w:rsidRPr="4EF08E9B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Entre otros, </w:t>
      </w:r>
      <w:r w:rsidR="51BE8146" w:rsidRPr="00663C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la relación calidad-precio es determinante para el 90 % de los consumidores, seguida de la proximidad (88 %) y de la aceptación de Ticket Restaurant (84 %).</w:t>
      </w:r>
    </w:p>
    <w:p w14:paraId="603488CD" w14:textId="77777777" w:rsidR="00665DC6" w:rsidRPr="00D72C52" w:rsidRDefault="00665DC6" w:rsidP="00D72C52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5893959B" w14:textId="77777777" w:rsidR="003013B3" w:rsidRPr="00110810" w:rsidRDefault="003013B3" w:rsidP="005D00A9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</w:p>
    <w:p w14:paraId="06EFA441" w14:textId="77777777" w:rsidR="007D60A1" w:rsidRDefault="007D60A1" w:rsidP="002026F3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</w:p>
    <w:p w14:paraId="69E80010" w14:textId="17432BAF" w:rsidR="005D00A9" w:rsidRPr="00A00233" w:rsidRDefault="005E6567" w:rsidP="002026F3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  <w:r w:rsidRPr="00A00233">
        <w:rPr>
          <w:rFonts w:ascii="Century Gothic" w:eastAsia="Century Gothic" w:hAnsi="Century Gothic" w:cs="Century Gothic"/>
          <w:b/>
          <w:bCs/>
          <w:color w:val="000000"/>
          <w:lang w:val="es-ES"/>
        </w:rPr>
        <w:lastRenderedPageBreak/>
        <w:t>La hostelería acelera su adaptación a la nueva demanda</w:t>
      </w:r>
    </w:p>
    <w:p w14:paraId="508920E5" w14:textId="77777777" w:rsidR="005E6567" w:rsidRPr="002026F3" w:rsidRDefault="005E6567" w:rsidP="002026F3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</w:p>
    <w:p w14:paraId="224AD3D6" w14:textId="5C18338A" w:rsidR="007532BD" w:rsidRDefault="007532BD" w:rsidP="007532BD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  <w:r w:rsidRPr="007532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La transformación de los hábitos de consumo también se refleja en los establecimientos. </w:t>
      </w:r>
      <w:r w:rsidRPr="007532BD">
        <w:rPr>
          <w:rFonts w:ascii="Century Gothic" w:eastAsia="Century Gothic" w:hAnsi="Century Gothic" w:cs="Century Gothic"/>
          <w:b/>
          <w:color w:val="000000" w:themeColor="text1"/>
          <w:lang w:val="es-ES"/>
        </w:rPr>
        <w:t>El 90 % de los restaurantes afirma prestar cada vez más atención a los productos saludables</w:t>
      </w:r>
      <w:r w:rsidRPr="007532BD">
        <w:rPr>
          <w:rFonts w:ascii="Century Gothic" w:eastAsia="Century Gothic" w:hAnsi="Century Gothic" w:cs="Century Gothic"/>
          <w:color w:val="000000" w:themeColor="text1"/>
          <w:lang w:val="es-ES"/>
        </w:rPr>
        <w:t>, frente al 80 % de 2025.</w:t>
      </w:r>
    </w:p>
    <w:p w14:paraId="2EBA2276" w14:textId="77777777" w:rsidR="007532BD" w:rsidRPr="007532BD" w:rsidRDefault="007532BD" w:rsidP="007532BD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2BAD8971" w14:textId="77777777" w:rsidR="007532BD" w:rsidRDefault="007532BD" w:rsidP="007532BD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</w:pPr>
      <w:r w:rsidRPr="007532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Además, algunas de las barreras tradicionalmente asociadas a la cocina saludable pierden relevancia. </w:t>
      </w:r>
      <w:r w:rsidRPr="007532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El porcentaje de establecimientos que considera que cocinar de forma saludable es más caro cae del 69 % al 54 %, mientras que quienes creen que requiere más tiempo descienden del 52 % al 41 %.</w:t>
      </w:r>
    </w:p>
    <w:p w14:paraId="7347129C" w14:textId="77777777" w:rsidR="007532BD" w:rsidRPr="007532BD" w:rsidRDefault="007532BD" w:rsidP="007532BD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3B7E7F94" w14:textId="77777777" w:rsidR="007532BD" w:rsidRDefault="007532BD" w:rsidP="007532BD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</w:pPr>
      <w:r w:rsidRPr="007532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La transformación alcanza también a la cadena de suministro: </w:t>
      </w:r>
      <w:r w:rsidRPr="007532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el porcentaje de restaurantes que trabaja con proveedores sostenibles se triplica en un año, del 9 % al 30 %.</w:t>
      </w:r>
    </w:p>
    <w:p w14:paraId="441323D9" w14:textId="77777777" w:rsidR="007532BD" w:rsidRPr="007532BD" w:rsidRDefault="007532BD" w:rsidP="007532BD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7EF12E33" w14:textId="77777777" w:rsidR="007532BD" w:rsidRPr="007532BD" w:rsidRDefault="007532BD" w:rsidP="007532BD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  <w:r w:rsidRPr="007532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Todo ello se produce en un contexto todavía marcado por la presión sobre los costes. </w:t>
      </w:r>
      <w:r w:rsidRPr="007532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El 83 % de los restaurantes identifica el encarecimiento de las materias primas como uno de sus principales retos.</w:t>
      </w:r>
      <w:r w:rsidRPr="007532BD">
        <w:rPr>
          <w:rFonts w:ascii="Century Gothic" w:eastAsia="Century Gothic" w:hAnsi="Century Gothic" w:cs="Century Gothic"/>
          <w:color w:val="000000" w:themeColor="text1"/>
          <w:lang w:val="es-ES"/>
        </w:rPr>
        <w:t xml:space="preserve"> Sin embargo, la percepción sobre la evolución del negocio muestra una fotografía más positiva: </w:t>
      </w:r>
      <w:r w:rsidRPr="007532BD">
        <w:rPr>
          <w:rFonts w:ascii="Century Gothic" w:eastAsia="Century Gothic" w:hAnsi="Century Gothic" w:cs="Century Gothic"/>
          <w:b/>
          <w:bCs/>
          <w:color w:val="000000" w:themeColor="text1"/>
          <w:lang w:val="es-ES"/>
        </w:rPr>
        <w:t>el 87 % valora positiva o muy positivamente su facturación durante el primer semestre de 2026.</w:t>
      </w:r>
    </w:p>
    <w:p w14:paraId="04721C2B" w14:textId="058647C7" w:rsidR="003013B3" w:rsidRPr="00495890" w:rsidRDefault="003013B3" w:rsidP="007532BD">
      <w:pPr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71D5D7D1" w14:textId="01E64032" w:rsidR="00A00233" w:rsidRPr="00A00233" w:rsidRDefault="00B30F9E" w:rsidP="003013B3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  <w:r w:rsidRPr="00A00233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Ticket Restaurant </w:t>
      </w:r>
      <w:r w:rsidR="00A00233">
        <w:rPr>
          <w:rFonts w:ascii="Century Gothic" w:eastAsia="Century Gothic" w:hAnsi="Century Gothic" w:cs="Century Gothic"/>
          <w:b/>
          <w:bCs/>
          <w:color w:val="000000"/>
          <w:lang w:val="es-ES"/>
        </w:rPr>
        <w:t>i</w:t>
      </w:r>
      <w:r w:rsidR="00A00233" w:rsidRPr="00A00233">
        <w:rPr>
          <w:rFonts w:ascii="Century Gothic" w:eastAsia="Century Gothic" w:hAnsi="Century Gothic" w:cs="Century Gothic"/>
          <w:b/>
          <w:bCs/>
          <w:color w:val="000000"/>
          <w:lang w:val="es-ES"/>
        </w:rPr>
        <w:t>mpulsa el poder adquisitivo y la transformación de la restauración</w:t>
      </w:r>
    </w:p>
    <w:p w14:paraId="06039EC3" w14:textId="77777777" w:rsidR="00B30F9E" w:rsidRPr="003013B3" w:rsidRDefault="00B30F9E" w:rsidP="003013B3">
      <w:pPr>
        <w:jc w:val="both"/>
        <w:rPr>
          <w:rFonts w:ascii="Century Gothic" w:eastAsia="Century Gothic" w:hAnsi="Century Gothic" w:cs="Century Gothic"/>
          <w:b/>
          <w:bCs/>
          <w:color w:val="000000"/>
          <w:lang w:val="es-ES"/>
        </w:rPr>
      </w:pPr>
    </w:p>
    <w:p w14:paraId="43581451" w14:textId="5481EAB3" w:rsidR="00C61027" w:rsidRPr="00C61027" w:rsidRDefault="00C61027" w:rsidP="00C61027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  <w:r w:rsidRPr="00C61027">
        <w:rPr>
          <w:rFonts w:ascii="Century Gothic" w:eastAsia="Century Gothic" w:hAnsi="Century Gothic" w:cs="Century Gothic"/>
          <w:color w:val="000000"/>
          <w:lang w:val="es-ES"/>
        </w:rPr>
        <w:t xml:space="preserve">La evolución del sector también se refleja en la afluencia a los establecimientos. </w:t>
      </w:r>
      <w:r w:rsidRPr="00C61027">
        <w:rPr>
          <w:rFonts w:ascii="Century Gothic" w:eastAsia="Century Gothic" w:hAnsi="Century Gothic" w:cs="Century Gothic"/>
          <w:b/>
          <w:bCs/>
          <w:color w:val="000000"/>
          <w:lang w:val="es-ES"/>
        </w:rPr>
        <w:t>El porcentaje de restaurantes que declara haber perdido clientes se reduce del 54 % en 2024 al 22 % en 2026</w:t>
      </w:r>
      <w:r w:rsidRPr="00C61027">
        <w:rPr>
          <w:rFonts w:ascii="Century Gothic" w:eastAsia="Century Gothic" w:hAnsi="Century Gothic" w:cs="Century Gothic"/>
          <w:color w:val="000000"/>
          <w:lang w:val="es-ES"/>
        </w:rPr>
        <w:t xml:space="preserve">, mientras que un 32 % afirma haber ganado </w:t>
      </w:r>
      <w:r w:rsidR="00C77C13">
        <w:rPr>
          <w:rFonts w:ascii="Century Gothic" w:eastAsia="Century Gothic" w:hAnsi="Century Gothic" w:cs="Century Gothic"/>
          <w:color w:val="000000"/>
          <w:lang w:val="es-ES"/>
        </w:rPr>
        <w:t>clientes</w:t>
      </w:r>
      <w:r w:rsidRPr="00C61027">
        <w:rPr>
          <w:rFonts w:ascii="Century Gothic" w:eastAsia="Century Gothic" w:hAnsi="Century Gothic" w:cs="Century Gothic"/>
          <w:color w:val="000000"/>
          <w:lang w:val="es-ES"/>
        </w:rPr>
        <w:t xml:space="preserve"> durante el último año.</w:t>
      </w:r>
    </w:p>
    <w:p w14:paraId="44203FB6" w14:textId="77777777" w:rsidR="008230E8" w:rsidRPr="008230E8" w:rsidRDefault="008230E8" w:rsidP="008230E8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5954B80B" w14:textId="6B4A2E0D" w:rsidR="008230E8" w:rsidRPr="00663CBD" w:rsidRDefault="0003304F" w:rsidP="008230E8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  <w:r w:rsidRPr="00663CBD">
        <w:rPr>
          <w:rFonts w:ascii="Century Gothic" w:eastAsia="Century Gothic" w:hAnsi="Century Gothic" w:cs="Century Gothic"/>
          <w:color w:val="000000"/>
          <w:lang w:val="es-ES"/>
        </w:rPr>
        <w:t xml:space="preserve">En este contexto, Ticket Restaurant </w:t>
      </w:r>
      <w:r w:rsidR="00663CBD">
        <w:rPr>
          <w:rFonts w:ascii="Century Gothic" w:eastAsia="Century Gothic" w:hAnsi="Century Gothic" w:cs="Century Gothic"/>
          <w:color w:val="000000"/>
          <w:lang w:val="es-ES"/>
        </w:rPr>
        <w:t xml:space="preserve">se consolida como una solución que conecta diariamente el bienestar de </w:t>
      </w:r>
      <w:r w:rsidR="00A00233">
        <w:rPr>
          <w:rFonts w:ascii="Century Gothic" w:eastAsia="Century Gothic" w:hAnsi="Century Gothic" w:cs="Century Gothic"/>
          <w:color w:val="000000"/>
          <w:lang w:val="es-ES"/>
        </w:rPr>
        <w:t>los equipos</w:t>
      </w:r>
      <w:r w:rsidR="00663CBD">
        <w:rPr>
          <w:rFonts w:ascii="Century Gothic" w:eastAsia="Century Gothic" w:hAnsi="Century Gothic" w:cs="Century Gothic"/>
          <w:color w:val="000000"/>
          <w:lang w:val="es-ES"/>
        </w:rPr>
        <w:t xml:space="preserve"> con la actividad de la restauración. </w:t>
      </w:r>
      <w:r w:rsidR="00663CBD" w:rsidRPr="00A00233">
        <w:rPr>
          <w:rFonts w:ascii="Century Gothic" w:eastAsia="Century Gothic" w:hAnsi="Century Gothic" w:cs="Century Gothic"/>
          <w:b/>
          <w:bCs/>
          <w:color w:val="000000"/>
          <w:lang w:val="es-ES"/>
        </w:rPr>
        <w:t>El 80% de los usuarios asegura que perdería poder adquisitivo si dejara de disponer de est</w:t>
      </w:r>
      <w:r w:rsidR="00682F4D">
        <w:rPr>
          <w:rFonts w:ascii="Century Gothic" w:eastAsia="Century Gothic" w:hAnsi="Century Gothic" w:cs="Century Gothic"/>
          <w:b/>
          <w:bCs/>
          <w:color w:val="000000"/>
          <w:lang w:val="es-ES"/>
        </w:rPr>
        <w:t>e recurso</w:t>
      </w:r>
      <w:r w:rsidR="00663CBD">
        <w:rPr>
          <w:rFonts w:ascii="Century Gothic" w:eastAsia="Century Gothic" w:hAnsi="Century Gothic" w:cs="Century Gothic"/>
          <w:color w:val="000000"/>
          <w:lang w:val="es-ES"/>
        </w:rPr>
        <w:t xml:space="preserve">, mientras que el 76% afirma que acudiría menos a restaurantes. Al mismo tiempo, el </w:t>
      </w:r>
      <w:r w:rsidRPr="00A00233">
        <w:rPr>
          <w:rFonts w:ascii="Century Gothic" w:eastAsia="Century Gothic" w:hAnsi="Century Gothic" w:cs="Century Gothic"/>
          <w:color w:val="000000"/>
          <w:lang w:val="es-ES"/>
        </w:rPr>
        <w:t xml:space="preserve">64 % de los establecimientos </w:t>
      </w:r>
      <w:r w:rsidR="00663CBD" w:rsidRPr="00A00233">
        <w:rPr>
          <w:rFonts w:ascii="Century Gothic" w:eastAsia="Century Gothic" w:hAnsi="Century Gothic" w:cs="Century Gothic"/>
          <w:color w:val="000000"/>
          <w:lang w:val="es-ES"/>
        </w:rPr>
        <w:t xml:space="preserve">señala </w:t>
      </w:r>
      <w:r w:rsidRPr="00A00233">
        <w:rPr>
          <w:rFonts w:ascii="Century Gothic" w:eastAsia="Century Gothic" w:hAnsi="Century Gothic" w:cs="Century Gothic"/>
          <w:color w:val="000000"/>
          <w:lang w:val="es-ES"/>
        </w:rPr>
        <w:t>que los usuarios de Ticket Restaurant acuden con mayor frecuencia</w:t>
      </w:r>
      <w:r w:rsidRPr="00663CBD">
        <w:rPr>
          <w:rFonts w:ascii="Century Gothic" w:eastAsia="Century Gothic" w:hAnsi="Century Gothic" w:cs="Century Gothic"/>
          <w:color w:val="000000"/>
          <w:lang w:val="es-ES"/>
        </w:rPr>
        <w:t xml:space="preserve">, y el </w:t>
      </w:r>
      <w:r w:rsidRPr="00A00233">
        <w:rPr>
          <w:rFonts w:ascii="Century Gothic" w:eastAsia="Century Gothic" w:hAnsi="Century Gothic" w:cs="Century Gothic"/>
          <w:color w:val="000000"/>
          <w:lang w:val="es-ES"/>
        </w:rPr>
        <w:t xml:space="preserve">63 % </w:t>
      </w:r>
      <w:r w:rsidR="00663CBD" w:rsidRPr="00A00233">
        <w:rPr>
          <w:rFonts w:ascii="Century Gothic" w:eastAsia="Century Gothic" w:hAnsi="Century Gothic" w:cs="Century Gothic"/>
          <w:color w:val="000000"/>
          <w:lang w:val="es-ES"/>
        </w:rPr>
        <w:t xml:space="preserve">considera </w:t>
      </w:r>
      <w:r w:rsidRPr="00A00233">
        <w:rPr>
          <w:rFonts w:ascii="Century Gothic" w:eastAsia="Century Gothic" w:hAnsi="Century Gothic" w:cs="Century Gothic"/>
          <w:color w:val="000000"/>
          <w:lang w:val="es-ES"/>
        </w:rPr>
        <w:t>que contribuye positivamente a su facturación</w:t>
      </w:r>
      <w:r w:rsidRPr="00663CBD">
        <w:rPr>
          <w:rFonts w:ascii="Century Gothic" w:eastAsia="Century Gothic" w:hAnsi="Century Gothic" w:cs="Century Gothic"/>
          <w:color w:val="000000"/>
          <w:lang w:val="es-ES"/>
        </w:rPr>
        <w:t xml:space="preserve">. </w:t>
      </w:r>
    </w:p>
    <w:p w14:paraId="048BDA4D" w14:textId="77777777" w:rsidR="004E4B6B" w:rsidRPr="00663CBD" w:rsidRDefault="004E4B6B" w:rsidP="008230E8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</w:p>
    <w:p w14:paraId="05FC2675" w14:textId="524AE804" w:rsidR="004E4B6B" w:rsidRPr="00663CBD" w:rsidRDefault="004E4B6B" w:rsidP="008230E8">
      <w:pPr>
        <w:jc w:val="both"/>
        <w:rPr>
          <w:rFonts w:ascii="Century Gothic" w:eastAsia="Century Gothic" w:hAnsi="Century Gothic" w:cs="Century Gothic"/>
          <w:color w:val="000000"/>
          <w:lang w:val="es-ES"/>
        </w:rPr>
      </w:pPr>
      <w:r w:rsidRPr="00663CBD">
        <w:rPr>
          <w:rFonts w:ascii="Century Gothic" w:eastAsia="Century Gothic" w:hAnsi="Century Gothic" w:cs="Century Gothic"/>
          <w:color w:val="000000"/>
          <w:lang w:val="es-ES"/>
        </w:rPr>
        <w:t xml:space="preserve">Los datos reflejan así </w:t>
      </w:r>
      <w:r w:rsidR="00682F4D">
        <w:rPr>
          <w:rFonts w:ascii="Century Gothic" w:eastAsia="Century Gothic" w:hAnsi="Century Gothic" w:cs="Century Gothic"/>
          <w:color w:val="000000"/>
          <w:lang w:val="es-ES"/>
        </w:rPr>
        <w:t>un</w:t>
      </w:r>
      <w:r w:rsidRPr="00663CBD">
        <w:rPr>
          <w:rFonts w:ascii="Century Gothic" w:eastAsia="Century Gothic" w:hAnsi="Century Gothic" w:cs="Century Gothic"/>
          <w:color w:val="000000"/>
          <w:lang w:val="es-ES"/>
        </w:rPr>
        <w:t xml:space="preserve"> doble </w:t>
      </w:r>
      <w:r w:rsidR="00682F4D">
        <w:rPr>
          <w:rFonts w:ascii="Century Gothic" w:eastAsia="Century Gothic" w:hAnsi="Century Gothic" w:cs="Century Gothic"/>
          <w:color w:val="000000"/>
          <w:lang w:val="es-ES"/>
        </w:rPr>
        <w:t>efecto</w:t>
      </w:r>
      <w:r w:rsidRPr="00663CBD">
        <w:rPr>
          <w:rFonts w:ascii="Century Gothic" w:eastAsia="Century Gothic" w:hAnsi="Century Gothic" w:cs="Century Gothic"/>
          <w:color w:val="000000"/>
          <w:lang w:val="es-ES"/>
        </w:rPr>
        <w:t xml:space="preserve">: </w:t>
      </w:r>
      <w:r w:rsidRPr="00663CBD">
        <w:rPr>
          <w:rFonts w:ascii="Century Gothic" w:eastAsia="Century Gothic" w:hAnsi="Century Gothic" w:cs="Century Gothic"/>
          <w:b/>
          <w:bCs/>
          <w:color w:val="000000"/>
          <w:lang w:val="es-ES"/>
        </w:rPr>
        <w:t>Ticket Restaurant ayuda a mantener la capacidad de consumo de</w:t>
      </w:r>
      <w:r w:rsidR="00682F4D">
        <w:rPr>
          <w:rFonts w:ascii="Century Gothic" w:eastAsia="Century Gothic" w:hAnsi="Century Gothic" w:cs="Century Gothic"/>
          <w:b/>
          <w:bCs/>
          <w:color w:val="000000"/>
          <w:lang w:val="es-ES"/>
        </w:rPr>
        <w:t>stinada a la alimentación durante la jornada labora</w:t>
      </w:r>
      <w:r w:rsidR="00A00233">
        <w:rPr>
          <w:rFonts w:ascii="Century Gothic" w:eastAsia="Century Gothic" w:hAnsi="Century Gothic" w:cs="Century Gothic"/>
          <w:b/>
          <w:bCs/>
          <w:color w:val="000000"/>
          <w:lang w:val="es-ES"/>
        </w:rPr>
        <w:t>l</w:t>
      </w:r>
      <w:r w:rsidR="00682F4D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 y, </w:t>
      </w:r>
      <w:r w:rsidRPr="00663CBD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al mismo tiempo, </w:t>
      </w:r>
      <w:r w:rsidR="00682F4D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genera un consumo recurrente que </w:t>
      </w:r>
      <w:r w:rsidRPr="00663CBD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favorece </w:t>
      </w:r>
      <w:r w:rsidR="00682F4D">
        <w:rPr>
          <w:rFonts w:ascii="Century Gothic" w:eastAsia="Century Gothic" w:hAnsi="Century Gothic" w:cs="Century Gothic"/>
          <w:b/>
          <w:bCs/>
          <w:color w:val="000000"/>
          <w:lang w:val="es-ES"/>
        </w:rPr>
        <w:t xml:space="preserve">que los restaurantes adapten su oferta a nuevas demandas en precio, formato, horarios y opciones de alimentación. </w:t>
      </w:r>
    </w:p>
    <w:p w14:paraId="2DBB96C4" w14:textId="77777777" w:rsidR="00750263" w:rsidRPr="00B30F9E" w:rsidRDefault="00750263" w:rsidP="0082425B">
      <w:pPr>
        <w:jc w:val="both"/>
        <w:rPr>
          <w:rFonts w:ascii="Century Gothic" w:eastAsia="Century Gothic" w:hAnsi="Century Gothic" w:cs="Century Gothic"/>
          <w:i/>
          <w:iCs/>
          <w:color w:val="000000"/>
          <w:lang w:val="es-ES"/>
        </w:rPr>
      </w:pPr>
    </w:p>
    <w:p w14:paraId="14FC109A" w14:textId="0BAFA78E" w:rsidR="000A7457" w:rsidRPr="004E4B6B" w:rsidRDefault="0082425B" w:rsidP="0082425B">
      <w:pPr>
        <w:jc w:val="both"/>
        <w:rPr>
          <w:rFonts w:ascii="Century Gothic" w:hAnsi="Century Gothic" w:cs="Century Gothic"/>
          <w:b/>
          <w:bCs/>
          <w:i/>
          <w:iCs/>
          <w:color w:val="000000"/>
          <w:lang w:val="es-ES"/>
        </w:rPr>
      </w:pPr>
      <w:r w:rsidRPr="00B30F9E">
        <w:rPr>
          <w:rFonts w:ascii="Century Gothic" w:eastAsia="Century Gothic" w:hAnsi="Century Gothic" w:cs="Century Gothic"/>
          <w:i/>
          <w:iCs/>
          <w:color w:val="000000"/>
          <w:lang w:val="es-ES"/>
        </w:rPr>
        <w:t>“</w:t>
      </w:r>
      <w:r w:rsidR="000A7457" w:rsidRPr="00B30F9E">
        <w:rPr>
          <w:rFonts w:ascii="Century Gothic" w:eastAsia="Century Gothic" w:hAnsi="Century Gothic" w:cs="Century Gothic"/>
          <w:i/>
          <w:iCs/>
          <w:color w:val="000000"/>
          <w:lang w:val="es-ES"/>
        </w:rPr>
        <w:t>Los datos muestran</w:t>
      </w:r>
      <w:r w:rsidRPr="00B30F9E">
        <w:rPr>
          <w:rFonts w:ascii="Century Gothic" w:eastAsia="Century Gothic" w:hAnsi="Century Gothic" w:cs="Century Gothic"/>
          <w:i/>
          <w:iCs/>
          <w:color w:val="000000"/>
          <w:lang w:val="es-ES"/>
        </w:rPr>
        <w:t xml:space="preserve"> que comer bien ya no es una aspiración puntual, sino una expectativa consolidada. Los consumidores </w:t>
      </w:r>
      <w:r w:rsidR="004E4B6B">
        <w:rPr>
          <w:rFonts w:ascii="Century Gothic" w:eastAsia="Century Gothic" w:hAnsi="Century Gothic" w:cs="Century Gothic"/>
          <w:i/>
          <w:iCs/>
          <w:color w:val="000000"/>
          <w:lang w:val="es-ES"/>
        </w:rPr>
        <w:t>cuidan</w:t>
      </w:r>
      <w:r w:rsidRPr="00B30F9E">
        <w:rPr>
          <w:rFonts w:ascii="Century Gothic" w:eastAsia="Century Gothic" w:hAnsi="Century Gothic" w:cs="Century Gothic"/>
          <w:i/>
          <w:iCs/>
          <w:color w:val="000000"/>
          <w:lang w:val="es-ES"/>
        </w:rPr>
        <w:t xml:space="preserve"> su alimentación incluso en un contexto de mayor presión sobre el presupuesto y la hostelería está respondiendo con una oferta más saludable, sostenible y adaptada a esas nuevas demandas. En este contexto, Ticket Restaurant contribuye a conectar ambas realidades, ayudando a los equipos a cuidar su alimentación durante la jornada y generando al mismo tiempo actividad para la restauración”, </w:t>
      </w:r>
      <w:r w:rsidR="001B58A4" w:rsidRPr="004E4B6B">
        <w:rPr>
          <w:rFonts w:ascii="Century Gothic" w:eastAsia="Century Gothic" w:hAnsi="Century Gothic" w:cs="Century Gothic"/>
          <w:b/>
          <w:bCs/>
          <w:i/>
          <w:iCs/>
          <w:color w:val="000000"/>
          <w:lang w:val="es-ES"/>
        </w:rPr>
        <w:t xml:space="preserve">señala María Abolafio, </w:t>
      </w:r>
      <w:r w:rsidR="001B58A4" w:rsidRPr="004E4B6B">
        <w:rPr>
          <w:rFonts w:ascii="Century Gothic" w:hAnsi="Century Gothic" w:cs="Century Gothic"/>
          <w:b/>
          <w:bCs/>
          <w:i/>
          <w:iCs/>
          <w:color w:val="000000"/>
          <w:lang w:val="es-ES"/>
        </w:rPr>
        <w:t xml:space="preserve">CSR &amp; </w:t>
      </w:r>
      <w:proofErr w:type="spellStart"/>
      <w:r w:rsidR="001B58A4" w:rsidRPr="004E4B6B">
        <w:rPr>
          <w:rFonts w:ascii="Century Gothic" w:hAnsi="Century Gothic" w:cs="Century Gothic"/>
          <w:b/>
          <w:bCs/>
          <w:i/>
          <w:iCs/>
          <w:color w:val="000000"/>
          <w:lang w:val="es-ES"/>
        </w:rPr>
        <w:t>Wellbeing</w:t>
      </w:r>
      <w:proofErr w:type="spellEnd"/>
      <w:r w:rsidR="001B58A4" w:rsidRPr="004E4B6B">
        <w:rPr>
          <w:rFonts w:ascii="Century Gothic" w:hAnsi="Century Gothic" w:cs="Century Gothic"/>
          <w:b/>
          <w:bCs/>
          <w:i/>
          <w:iCs/>
          <w:color w:val="000000"/>
          <w:lang w:val="es-ES"/>
        </w:rPr>
        <w:t xml:space="preserve"> Expert de Edenred.</w:t>
      </w:r>
    </w:p>
    <w:p w14:paraId="6326F071" w14:textId="77777777" w:rsidR="00D97C57" w:rsidRDefault="00D97C57" w:rsidP="0082425B">
      <w:pPr>
        <w:jc w:val="both"/>
        <w:rPr>
          <w:rFonts w:ascii="Century Gothic" w:hAnsi="Century Gothic" w:cs="Century Gothic"/>
          <w:i/>
          <w:iCs/>
          <w:color w:val="000000"/>
          <w:lang w:val="es-ES"/>
        </w:rPr>
      </w:pPr>
    </w:p>
    <w:p w14:paraId="0E277E51" w14:textId="77777777" w:rsidR="00D97C57" w:rsidRDefault="00D97C57" w:rsidP="0082425B">
      <w:pPr>
        <w:jc w:val="both"/>
        <w:rPr>
          <w:rFonts w:ascii="Century Gothic" w:hAnsi="Century Gothic" w:cs="Century Gothic"/>
          <w:i/>
          <w:iCs/>
          <w:color w:val="000000"/>
          <w:lang w:val="es-ES"/>
        </w:rPr>
      </w:pPr>
    </w:p>
    <w:p w14:paraId="69E17D03" w14:textId="77777777" w:rsidR="00D97C57" w:rsidRDefault="00D97C57" w:rsidP="0082425B">
      <w:pPr>
        <w:jc w:val="both"/>
        <w:rPr>
          <w:rFonts w:ascii="Century Gothic" w:hAnsi="Century Gothic" w:cs="Century Gothic"/>
          <w:i/>
          <w:iCs/>
          <w:color w:val="000000"/>
          <w:lang w:val="es-ES"/>
        </w:rPr>
      </w:pPr>
    </w:p>
    <w:p w14:paraId="479B51E2" w14:textId="77777777" w:rsidR="00D97C57" w:rsidRDefault="00D97C57" w:rsidP="0082425B">
      <w:pPr>
        <w:jc w:val="both"/>
        <w:rPr>
          <w:rFonts w:ascii="Century Gothic" w:hAnsi="Century Gothic" w:cs="Century Gothic"/>
          <w:i/>
          <w:iCs/>
          <w:color w:val="000000"/>
          <w:lang w:val="es-ES"/>
        </w:rPr>
      </w:pPr>
    </w:p>
    <w:p w14:paraId="26D9F740" w14:textId="77777777" w:rsidR="00D97C57" w:rsidRPr="00B30F9E" w:rsidRDefault="00D97C57" w:rsidP="0082425B">
      <w:pPr>
        <w:jc w:val="both"/>
        <w:rPr>
          <w:rFonts w:ascii="Century Gothic" w:eastAsia="Century Gothic" w:hAnsi="Century Gothic" w:cs="Century Gothic"/>
          <w:i/>
          <w:iCs/>
          <w:color w:val="000000"/>
          <w:lang w:val="es-ES"/>
        </w:rPr>
      </w:pPr>
    </w:p>
    <w:p w14:paraId="51E74DA8" w14:textId="75388D9D" w:rsidR="0034131E" w:rsidRPr="00512CC2" w:rsidRDefault="00E660F9" w:rsidP="00F17427">
      <w:pPr>
        <w:jc w:val="both"/>
        <w:rPr>
          <w:rFonts w:ascii="Century Gothic" w:hAnsi="Century Gothic" w:cs="Century Gothic"/>
          <w:color w:val="auto"/>
          <w:lang w:val="es-ES"/>
        </w:rPr>
      </w:pPr>
      <w:r w:rsidRPr="00833D4F">
        <w:rPr>
          <w:rFonts w:ascii="Century Gothic" w:eastAsia="Century Gothic" w:hAnsi="Century Gothic" w:cs="Century Gothic"/>
          <w:color w:val="000000"/>
          <w:lang w:val="es-ES"/>
        </w:rPr>
        <w:lastRenderedPageBreak/>
        <w:t>▬▬</w:t>
      </w:r>
    </w:p>
    <w:p w14:paraId="319B1527" w14:textId="77777777" w:rsidR="0034131E" w:rsidRPr="00833D4F" w:rsidRDefault="0034131E">
      <w:pPr>
        <w:jc w:val="both"/>
        <w:rPr>
          <w:rFonts w:ascii="Century Gothic" w:eastAsia="Century Gothic" w:hAnsi="Century Gothic" w:cs="Century Gothic"/>
          <w:lang w:val="es-ES"/>
        </w:rPr>
      </w:pPr>
    </w:p>
    <w:p w14:paraId="25873AF5" w14:textId="77777777" w:rsidR="0034131E" w:rsidRPr="00833D4F" w:rsidRDefault="00E660F9">
      <w:pPr>
        <w:jc w:val="both"/>
        <w:rPr>
          <w:lang w:val="es-ES"/>
        </w:rPr>
      </w:pPr>
      <w:r w:rsidRPr="00833D4F">
        <w:rPr>
          <w:rFonts w:ascii="Century Gothic" w:eastAsia="Century Gothic" w:hAnsi="Century Gothic" w:cs="Century Gothic"/>
          <w:b/>
          <w:color w:val="000000"/>
          <w:sz w:val="18"/>
          <w:szCs w:val="18"/>
          <w:lang w:val="es-ES"/>
        </w:rPr>
        <w:t>Sobre Edenred</w:t>
      </w:r>
    </w:p>
    <w:p w14:paraId="1913A89B" w14:textId="35E52805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lang w:val="es-ES"/>
        </w:rPr>
      </w:pPr>
    </w:p>
    <w:p w14:paraId="42281989" w14:textId="441184D9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  <w:lang w:val="es-ES"/>
        </w:rPr>
        <w:t>Edenred</w:t>
      </w: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 es líder </w:t>
      </w:r>
      <w:r w:rsidRPr="00A0023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global en </w:t>
      </w:r>
      <w:proofErr w:type="spellStart"/>
      <w:r w:rsidRPr="00A0023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Benefits</w:t>
      </w:r>
      <w:proofErr w:type="spellEnd"/>
      <w:r w:rsidRPr="00A0023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 &amp; </w:t>
      </w:r>
      <w:proofErr w:type="spellStart"/>
      <w:r w:rsidRPr="00A0023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Engagement</w:t>
      </w:r>
      <w:proofErr w:type="spellEnd"/>
      <w:r w:rsidRPr="00A0023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 y Movilidad.</w:t>
      </w:r>
    </w:p>
    <w:p w14:paraId="55B811DA" w14:textId="1C38D9F9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18A2EBB6" w14:textId="54F2D83D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Con más de 1 millón de empresas cliente en 44 países, la plataforma de Edenred ofrece a más de 60 millones de usuarios acceso a los servicios y productos de más de 2 millones de comercios asociados.</w:t>
      </w:r>
    </w:p>
    <w:p w14:paraId="77B09E63" w14:textId="02CE97C1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54A0712F" w14:textId="0256EC9E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Edenred proporciona soluciones digitales dirigidas a profesionales (vales de comida, transporte al trabajo, tarjetas regalo, bienestar, incentivos y ofertas preferentes), a gestores de flotas (soluciones multienergía que incluyen recarga de vehículos eléctricos, servicios de mantenimiento, peajes y estacionamiento) y a pagos corporativos (tarjetas virtuales).</w:t>
      </w:r>
    </w:p>
    <w:p w14:paraId="7603B261" w14:textId="09ED7591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087302A5" w14:textId="6C56C94B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 xml:space="preserve">Guiadas por el propósito del Grupo, </w:t>
      </w:r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“</w:t>
      </w:r>
      <w:proofErr w:type="spellStart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Enrich</w:t>
      </w:r>
      <w:proofErr w:type="spellEnd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 xml:space="preserve"> </w:t>
      </w:r>
      <w:proofErr w:type="spellStart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connections</w:t>
      </w:r>
      <w:proofErr w:type="spellEnd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 xml:space="preserve">. For </w:t>
      </w:r>
      <w:proofErr w:type="spellStart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good</w:t>
      </w:r>
      <w:proofErr w:type="spellEnd"/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8"/>
          <w:szCs w:val="18"/>
          <w:lang w:val="es-ES"/>
        </w:rPr>
        <w:t>.”</w:t>
      </w: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, estas soluciones mejoran el bienestar y el poder adquisitivo de los profesionales y simplifican la vida de los conductores profesionales. Asimismo, fomentan el acceso a una alimentación más saludable, a productos más respetuosos con el medioambiente y a una movilidad más sostenible. Además, contribuyen a mejorar la atractividad y la eficiencia de las empresas, dinamizando al mismo tiempo el mercado laboral y las economías locales.</w:t>
      </w:r>
    </w:p>
    <w:p w14:paraId="298965CF" w14:textId="0AB01087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3916B0C3" w14:textId="093A653C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Los 12.000 profesionales de Edenred trabajan cada día para hacer del mundo laboral un ecosistema más conectado, seguro, eficiente y responsable.</w:t>
      </w:r>
    </w:p>
    <w:p w14:paraId="538E00BD" w14:textId="3DBFDFD0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3E8034FB" w14:textId="11C5D08F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En 2025, gracias a su plataforma tecnológica única, el Grupo generó un volumen de negocio de 49.000 millones de euros, principalmente a través de aplicaciones móviles, plataformas online y tarjetas.</w:t>
      </w:r>
    </w:p>
    <w:p w14:paraId="7E24578C" w14:textId="7B42CFD6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031F0800" w14:textId="69BA25A8" w:rsidR="30A0C5C1" w:rsidRDefault="30A0C5C1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  <w:r w:rsidRPr="10C8913A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  <w:t>Edenred cotiza en la Bolsa de París (Euronext Paris) y forma parte de los siguientes índices: CAC Next 20, CAC Large 60, Euronext 100, Euronext Tech Leaders, FTSE4Good, DJSI Europe Index y DJSI World Index.</w:t>
      </w:r>
    </w:p>
    <w:p w14:paraId="66CEAA30" w14:textId="6CA01771" w:rsidR="10C8913A" w:rsidRDefault="10C8913A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es-ES"/>
        </w:rPr>
      </w:pPr>
    </w:p>
    <w:p w14:paraId="53DB0FAF" w14:textId="01F91401" w:rsidR="30A0C5C1" w:rsidRDefault="30A0C5C1" w:rsidP="10C8913A">
      <w:pPr>
        <w:spacing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6"/>
          <w:szCs w:val="16"/>
          <w:lang w:val="es-ES"/>
        </w:rPr>
      </w:pPr>
      <w:r w:rsidRPr="10C8913A">
        <w:rPr>
          <w:rFonts w:ascii="Century Gothic" w:eastAsia="Century Gothic" w:hAnsi="Century Gothic" w:cs="Century Gothic"/>
          <w:i/>
          <w:iCs/>
          <w:color w:val="000000" w:themeColor="text1"/>
          <w:sz w:val="16"/>
          <w:szCs w:val="16"/>
          <w:lang w:val="es-ES"/>
        </w:rPr>
        <w:t>Los logotipos y otras marcas mencionadas y destacadas en este comunicado de prensa son marcas registradas de Edenred S.E., sus filiales o terceros. No pueden utilizarse con fines comerciales sin el consentimiento previo por escrito de sus propietarios.</w:t>
      </w:r>
    </w:p>
    <w:p w14:paraId="2ED4618B" w14:textId="77777777" w:rsidR="00D3684E" w:rsidRDefault="00D3684E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  <w:lang w:val="es-ES"/>
        </w:rPr>
      </w:pPr>
    </w:p>
    <w:p w14:paraId="2C89BAF6" w14:textId="77777777" w:rsidR="00D3684E" w:rsidRPr="00833D4F" w:rsidRDefault="00D3684E" w:rsidP="10C8913A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  <w:lang w:val="es-ES"/>
        </w:rPr>
      </w:pPr>
    </w:p>
    <w:p w14:paraId="34EBC2CB" w14:textId="77777777" w:rsidR="0034131E" w:rsidRDefault="00E660F9">
      <w:pPr>
        <w:spacing w:line="254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CONTACTO</w:t>
      </w:r>
    </w:p>
    <w:tbl>
      <w:tblPr>
        <w:tblStyle w:val="a"/>
        <w:tblW w:w="96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03"/>
        <w:gridCol w:w="4552"/>
      </w:tblGrid>
      <w:tr w:rsidR="0034131E" w14:paraId="10E87855" w14:textId="77777777">
        <w:trPr>
          <w:trHeight w:val="1725"/>
        </w:trPr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B8FE" w14:textId="77777777" w:rsidR="0034131E" w:rsidRDefault="0034131E">
            <w:pPr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</w:p>
          <w:p w14:paraId="3E71BA8C" w14:textId="77777777" w:rsidR="0034131E" w:rsidRDefault="00E660F9">
            <w:pPr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  <w:t>Edenred</w:t>
            </w:r>
          </w:p>
          <w:p w14:paraId="2C0E5145" w14:textId="77777777" w:rsidR="0034131E" w:rsidRDefault="00E660F9">
            <w:pPr>
              <w:jc w:val="both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Alejandro Delgado Sánchez</w:t>
            </w:r>
          </w:p>
          <w:p w14:paraId="3C5097B0" w14:textId="77777777" w:rsidR="0034131E" w:rsidRDefault="00E660F9">
            <w:pPr>
              <w:jc w:val="both"/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Communications </w:t>
            </w: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Specialist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 </w:t>
            </w:r>
          </w:p>
          <w:p w14:paraId="7AD809AF" w14:textId="77777777" w:rsidR="0034131E" w:rsidRDefault="0034131E">
            <w:pPr>
              <w:jc w:val="both"/>
            </w:pPr>
            <w:hyperlink r:id="rId10">
              <w:r>
                <w:rPr>
                  <w:rFonts w:ascii="Century Gothic" w:eastAsia="Century Gothic" w:hAnsi="Century Gothic" w:cs="Century Gothic"/>
                  <w:color w:val="000000"/>
                  <w:sz w:val="16"/>
                  <w:szCs w:val="16"/>
                </w:rPr>
                <w:t>alejandro.delgadosanchez@edenred.com</w:t>
              </w:r>
            </w:hyperlink>
          </w:p>
          <w:p w14:paraId="4CF87B1B" w14:textId="77777777" w:rsidR="0034131E" w:rsidRDefault="0034131E">
            <w:pPr>
              <w:spacing w:line="251" w:lineRule="auto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</w:p>
        </w:tc>
        <w:tc>
          <w:tcPr>
            <w:tcW w:w="4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79073" w14:textId="77777777" w:rsidR="0034131E" w:rsidRDefault="0034131E">
            <w:pPr>
              <w:spacing w:line="251" w:lineRule="auto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</w:p>
          <w:p w14:paraId="188D7D39" w14:textId="77777777" w:rsidR="0034131E" w:rsidRDefault="00E660F9">
            <w:pPr>
              <w:spacing w:line="251" w:lineRule="auto"/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6"/>
                <w:szCs w:val="16"/>
              </w:rPr>
              <w:t xml:space="preserve">Newlink Spain </w:t>
            </w:r>
          </w:p>
          <w:p w14:paraId="0709A77C" w14:textId="248A1639" w:rsidR="0034131E" w:rsidRDefault="00E660F9">
            <w:pPr>
              <w:spacing w:line="251" w:lineRule="auto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Marina Gascón </w:t>
            </w:r>
            <w:r w:rsidR="007236FB"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Martínez de Quel</w:t>
            </w: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| Patricia Vizcaíno | Sara García</w:t>
            </w:r>
          </w:p>
          <w:p w14:paraId="186B073B" w14:textId="77777777" w:rsidR="0034131E" w:rsidRDefault="00E660F9">
            <w:pPr>
              <w:spacing w:line="251" w:lineRule="auto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651 96 34 59</w:t>
            </w:r>
          </w:p>
          <w:p w14:paraId="5D012B56" w14:textId="77777777" w:rsidR="0034131E" w:rsidRDefault="0034131E">
            <w:pPr>
              <w:spacing w:line="251" w:lineRule="auto"/>
            </w:pPr>
            <w:hyperlink r:id="rId11">
              <w:r>
                <w:rPr>
                  <w:rFonts w:ascii="Century Gothic" w:eastAsia="Century Gothic" w:hAnsi="Century Gothic" w:cs="Century Gothic"/>
                  <w:color w:val="000000"/>
                  <w:sz w:val="16"/>
                  <w:szCs w:val="16"/>
                </w:rPr>
                <w:t>equipo.edenred@newlink-group.com</w:t>
              </w:r>
            </w:hyperlink>
          </w:p>
        </w:tc>
      </w:tr>
    </w:tbl>
    <w:p w14:paraId="671E32A1" w14:textId="56B9CE2B" w:rsidR="00522BCC" w:rsidRPr="00232EC3" w:rsidRDefault="00522BCC" w:rsidP="00522BCC">
      <w:pPr>
        <w:tabs>
          <w:tab w:val="left" w:pos="2760"/>
        </w:tabs>
        <w:rPr>
          <w:rFonts w:ascii="Century Gothic" w:hAnsi="Century Gothic"/>
          <w:b/>
          <w:bCs/>
          <w:color w:val="auto"/>
          <w:sz w:val="24"/>
          <w:szCs w:val="24"/>
          <w:lang w:val="es-ES"/>
        </w:rPr>
      </w:pPr>
      <w:r w:rsidRPr="00232EC3">
        <w:rPr>
          <w:rFonts w:ascii="Century Gothic" w:hAnsi="Century Gothic"/>
          <w:b/>
          <w:bCs/>
          <w:color w:val="auto"/>
          <w:sz w:val="24"/>
          <w:szCs w:val="24"/>
          <w:lang w:val="es-ES"/>
        </w:rPr>
        <w:t>PUBLICACIONES RELACIONADAS</w:t>
      </w:r>
    </w:p>
    <w:p w14:paraId="0C892D8C" w14:textId="77777777" w:rsidR="00522BCC" w:rsidRPr="00232EC3" w:rsidRDefault="00522BCC" w:rsidP="00522BCC">
      <w:pPr>
        <w:tabs>
          <w:tab w:val="left" w:pos="2760"/>
        </w:tabs>
        <w:rPr>
          <w:rFonts w:ascii="Century Gothic" w:hAnsi="Century Gothic"/>
          <w:color w:val="auto"/>
          <w:lang w:val="es-ES"/>
        </w:rPr>
      </w:pPr>
    </w:p>
    <w:p w14:paraId="05A50C49" w14:textId="77777777" w:rsidR="00522BCC" w:rsidRPr="006D40B0" w:rsidRDefault="00522BCC" w:rsidP="00522BCC">
      <w:pPr>
        <w:tabs>
          <w:tab w:val="left" w:pos="2760"/>
        </w:tabs>
        <w:rPr>
          <w:rFonts w:ascii="Century Gothic" w:hAnsi="Century Gothic"/>
          <w:color w:val="auto"/>
          <w:lang w:val="es-ES"/>
        </w:rPr>
      </w:pPr>
      <w:r w:rsidRPr="006D40B0">
        <w:rPr>
          <w:rFonts w:ascii="Century Gothic" w:hAnsi="Century Gothic"/>
          <w:color w:val="auto"/>
          <w:lang w:val="es-ES"/>
        </w:rPr>
        <w:t>Si deseas ampliar información sobre este comunicado, puedes consultar las siguientes publicaciones:</w:t>
      </w:r>
    </w:p>
    <w:p w14:paraId="27D4F761" w14:textId="77777777" w:rsidR="00522BCC" w:rsidRPr="00AF09A9" w:rsidRDefault="00522BCC" w:rsidP="00522BCC">
      <w:pPr>
        <w:tabs>
          <w:tab w:val="left" w:pos="2760"/>
        </w:tabs>
        <w:rPr>
          <w:rFonts w:ascii="Century Gothic" w:hAnsi="Century Gothic" w:cs="Calibri"/>
          <w:color w:val="000000"/>
          <w:lang w:val="es-ES"/>
        </w:rPr>
      </w:pPr>
    </w:p>
    <w:p w14:paraId="3C9B5A74" w14:textId="77777777" w:rsidR="004F30C5" w:rsidRPr="004F30C5" w:rsidRDefault="004F30C5" w:rsidP="004F30C5">
      <w:pPr>
        <w:numPr>
          <w:ilvl w:val="0"/>
          <w:numId w:val="17"/>
        </w:numPr>
        <w:tabs>
          <w:tab w:val="left" w:pos="2760"/>
        </w:tabs>
        <w:rPr>
          <w:color w:val="55517B"/>
          <w:lang w:val="es-ES"/>
        </w:rPr>
      </w:pPr>
      <w:r w:rsidRPr="004F30C5">
        <w:rPr>
          <w:rFonts w:ascii="Century Gothic" w:hAnsi="Century Gothic" w:cs="Calibri"/>
          <w:b/>
          <w:bCs/>
          <w:color w:val="000000"/>
          <w:lang w:val="es-ES"/>
        </w:rPr>
        <w:t xml:space="preserve">Europa Press. </w:t>
      </w:r>
      <w:hyperlink r:id="rId12" w:tgtFrame="_blank" w:history="1">
        <w:r w:rsidRPr="004F30C5">
          <w:rPr>
            <w:rStyle w:val="Hipervnculo"/>
            <w:rFonts w:ascii="Century Gothic" w:hAnsi="Century Gothic" w:cs="Calibri"/>
            <w:b/>
            <w:bCs/>
            <w:lang w:val="es-ES"/>
          </w:rPr>
          <w:t>Uno de cad</w:t>
        </w:r>
        <w:r w:rsidRPr="004F30C5">
          <w:rPr>
            <w:rStyle w:val="Hipervnculo"/>
            <w:rFonts w:ascii="Century Gothic" w:hAnsi="Century Gothic" w:cs="Calibri"/>
            <w:b/>
            <w:bCs/>
            <w:lang w:val="es-ES"/>
          </w:rPr>
          <w:t>a</w:t>
        </w:r>
        <w:r w:rsidRPr="004F30C5">
          <w:rPr>
            <w:rStyle w:val="Hipervnculo"/>
            <w:rFonts w:ascii="Century Gothic" w:hAnsi="Century Gothic" w:cs="Calibri"/>
            <w:b/>
            <w:bCs/>
            <w:lang w:val="es-ES"/>
          </w:rPr>
          <w:t xml:space="preserve"> cuatro españoles destina ya más del 30% de sus ingresos a la alimentación </w:t>
        </w:r>
      </w:hyperlink>
    </w:p>
    <w:p w14:paraId="707BC176" w14:textId="77777777" w:rsidR="004F30C5" w:rsidRDefault="004F30C5" w:rsidP="004F30C5">
      <w:pPr>
        <w:numPr>
          <w:ilvl w:val="0"/>
          <w:numId w:val="17"/>
        </w:numPr>
        <w:tabs>
          <w:tab w:val="left" w:pos="2760"/>
        </w:tabs>
        <w:rPr>
          <w:color w:val="55517B"/>
          <w:lang w:val="es-ES"/>
        </w:rPr>
      </w:pPr>
      <w:r w:rsidRPr="004F30C5">
        <w:rPr>
          <w:rFonts w:ascii="Century Gothic" w:hAnsi="Century Gothic" w:cs="Calibri"/>
          <w:b/>
          <w:bCs/>
          <w:color w:val="000000"/>
          <w:lang w:val="es-ES"/>
        </w:rPr>
        <w:t xml:space="preserve">Forbes. </w:t>
      </w:r>
      <w:hyperlink r:id="rId13" w:tgtFrame="_blank" w:history="1">
        <w:r w:rsidRPr="004F30C5">
          <w:rPr>
            <w:rStyle w:val="Hipervnculo"/>
            <w:rFonts w:ascii="Century Gothic" w:hAnsi="Century Gothic" w:cs="Calibri"/>
            <w:b/>
            <w:bCs/>
            <w:lang w:val="es-ES"/>
          </w:rPr>
          <w:t>Uno de cada cuatro españoles destina ya más del 30% de sus ingresos a la alimentación   </w:t>
        </w:r>
        <w:proofErr w:type="spellStart"/>
      </w:hyperlink>
      <w:proofErr w:type="spellEnd"/>
    </w:p>
    <w:p w14:paraId="62FFDE23" w14:textId="42849725" w:rsidR="0034131E" w:rsidRPr="004F30C5" w:rsidRDefault="004F30C5" w:rsidP="004F30C5">
      <w:pPr>
        <w:numPr>
          <w:ilvl w:val="0"/>
          <w:numId w:val="17"/>
        </w:numPr>
        <w:tabs>
          <w:tab w:val="left" w:pos="2760"/>
        </w:tabs>
        <w:rPr>
          <w:color w:val="55517B"/>
          <w:lang w:val="es-ES"/>
        </w:rPr>
      </w:pPr>
      <w:proofErr w:type="spellStart"/>
      <w:r w:rsidRPr="004F30C5">
        <w:rPr>
          <w:rFonts w:ascii="Century Gothic" w:hAnsi="Century Gothic" w:cs="Calibri"/>
          <w:b/>
          <w:bCs/>
          <w:color w:val="000000"/>
          <w:lang w:val="es-ES"/>
        </w:rPr>
        <w:t>Sivarious</w:t>
      </w:r>
      <w:proofErr w:type="spellEnd"/>
      <w:r w:rsidRPr="004F30C5">
        <w:rPr>
          <w:rFonts w:ascii="Century Gothic" w:hAnsi="Century Gothic" w:cs="Calibri"/>
          <w:b/>
          <w:bCs/>
          <w:color w:val="000000"/>
          <w:lang w:val="es-ES"/>
        </w:rPr>
        <w:t xml:space="preserve">. </w:t>
      </w:r>
      <w:hyperlink r:id="rId14" w:history="1">
        <w:r w:rsidRPr="004F30C5">
          <w:rPr>
            <w:rStyle w:val="Hipervnculo"/>
            <w:rFonts w:ascii="Century Gothic" w:hAnsi="Century Gothic" w:cs="Calibri"/>
            <w:b/>
            <w:bCs/>
            <w:lang w:val="es-ES"/>
          </w:rPr>
          <w:t>El ticket Restaurant se reivindica como motor en la restauración</w:t>
        </w:r>
      </w:hyperlink>
    </w:p>
    <w:sectPr w:rsidR="0034131E" w:rsidRPr="004F30C5">
      <w:footerReference w:type="default" r:id="rId15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E3887" w14:textId="77777777" w:rsidR="00746E7F" w:rsidRDefault="00746E7F">
      <w:pPr>
        <w:spacing w:line="240" w:lineRule="auto"/>
      </w:pPr>
      <w:r>
        <w:separator/>
      </w:r>
    </w:p>
  </w:endnote>
  <w:endnote w:type="continuationSeparator" w:id="0">
    <w:p w14:paraId="75C59189" w14:textId="77777777" w:rsidR="00746E7F" w:rsidRDefault="00746E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A7A9CBFA-4ACC-4B53-A689-5184BD0CD3EC}"/>
    <w:embedBold r:id="rId2" w:fontKey="{B55C7AA1-2603-46B2-A87B-25C7428592D2}"/>
    <w:embedItalic r:id="rId3" w:fontKey="{613E50B8-DA52-41AA-BE60-A64BD14FABDE}"/>
    <w:embedBoldItalic r:id="rId4" w:fontKey="{1ECFE9CB-2A3F-42DB-98A9-671EAA73BBC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2A9B42C-B49B-4605-9810-6C75FF3476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EB3E761-B205-4BC3-A5F0-3A6D43F0C279}"/>
    <w:embedBold r:id="rId7" w:fontKey="{7D6715EE-89F6-484E-85AB-9717349A041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88E593C1-F4ED-4C98-808F-7B89E4B4AAA1}"/>
    <w:embedItalic r:id="rId9" w:fontKey="{42100AB8-EB61-4BCF-8F69-EC47D62623EE}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B6EBDAF2-0D8C-4505-B423-2BFB9BB731F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EAE31F98-2C6B-451A-BF64-884AE23103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5193" w14:textId="77777777" w:rsidR="0034131E" w:rsidRDefault="00E660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B5CB540" wp14:editId="6EA21FCE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25697" cy="337303"/>
          <wp:effectExtent l="0" t="0" r="0" b="0"/>
          <wp:wrapNone/>
          <wp:docPr id="827937672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5697" cy="337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7A41C" w14:textId="77777777" w:rsidR="00746E7F" w:rsidRDefault="00746E7F">
      <w:pPr>
        <w:spacing w:line="240" w:lineRule="auto"/>
      </w:pPr>
      <w:r>
        <w:separator/>
      </w:r>
    </w:p>
  </w:footnote>
  <w:footnote w:type="continuationSeparator" w:id="0">
    <w:p w14:paraId="5B8F61A8" w14:textId="77777777" w:rsidR="00746E7F" w:rsidRDefault="00746E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738"/>
    <w:multiLevelType w:val="multilevel"/>
    <w:tmpl w:val="FED4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44AC5"/>
    <w:multiLevelType w:val="multilevel"/>
    <w:tmpl w:val="640A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54FB0"/>
    <w:multiLevelType w:val="multilevel"/>
    <w:tmpl w:val="99C81776"/>
    <w:lvl w:ilvl="0">
      <w:start w:val="1"/>
      <w:numFmt w:val="decimal"/>
      <w:pStyle w:val="BoxBulle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D352C24"/>
    <w:multiLevelType w:val="multilevel"/>
    <w:tmpl w:val="30F49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008D1"/>
    <w:multiLevelType w:val="multilevel"/>
    <w:tmpl w:val="F172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642B9"/>
    <w:multiLevelType w:val="hybridMultilevel"/>
    <w:tmpl w:val="DB500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B5FD5"/>
    <w:multiLevelType w:val="multilevel"/>
    <w:tmpl w:val="8FEE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66DFC"/>
    <w:multiLevelType w:val="multilevel"/>
    <w:tmpl w:val="7BEEF018"/>
    <w:lvl w:ilvl="0">
      <w:start w:val="1"/>
      <w:numFmt w:val="bullet"/>
      <w:pStyle w:val="BulletLead-in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354B56"/>
    <w:multiLevelType w:val="hybridMultilevel"/>
    <w:tmpl w:val="C8A0468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4B1BCF"/>
    <w:multiLevelType w:val="hybridMultilevel"/>
    <w:tmpl w:val="2F66B3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9529C"/>
    <w:multiLevelType w:val="hybridMultilevel"/>
    <w:tmpl w:val="D3C2637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B21CF7"/>
    <w:multiLevelType w:val="multilevel"/>
    <w:tmpl w:val="E9B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BE3B49"/>
    <w:multiLevelType w:val="multilevel"/>
    <w:tmpl w:val="6492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086534"/>
    <w:multiLevelType w:val="hybridMultilevel"/>
    <w:tmpl w:val="E4FC4868"/>
    <w:lvl w:ilvl="0" w:tplc="268C4E4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000000"/>
        <w:sz w:val="22"/>
        <w:szCs w:val="22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9852E3A"/>
    <w:multiLevelType w:val="hybridMultilevel"/>
    <w:tmpl w:val="D228D12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6F7F25"/>
    <w:multiLevelType w:val="multilevel"/>
    <w:tmpl w:val="21AE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CB07B8"/>
    <w:multiLevelType w:val="multilevel"/>
    <w:tmpl w:val="B70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246018">
    <w:abstractNumId w:val="7"/>
  </w:num>
  <w:num w:numId="2" w16cid:durableId="620915189">
    <w:abstractNumId w:val="2"/>
  </w:num>
  <w:num w:numId="3" w16cid:durableId="950282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3698190">
    <w:abstractNumId w:val="1"/>
  </w:num>
  <w:num w:numId="5" w16cid:durableId="1620795933">
    <w:abstractNumId w:val="11"/>
  </w:num>
  <w:num w:numId="6" w16cid:durableId="615062920">
    <w:abstractNumId w:val="15"/>
  </w:num>
  <w:num w:numId="7" w16cid:durableId="1644777061">
    <w:abstractNumId w:val="10"/>
  </w:num>
  <w:num w:numId="8" w16cid:durableId="948393040">
    <w:abstractNumId w:val="9"/>
  </w:num>
  <w:num w:numId="9" w16cid:durableId="1445342659">
    <w:abstractNumId w:val="14"/>
  </w:num>
  <w:num w:numId="10" w16cid:durableId="1104036525">
    <w:abstractNumId w:val="6"/>
  </w:num>
  <w:num w:numId="11" w16cid:durableId="645665303">
    <w:abstractNumId w:val="8"/>
  </w:num>
  <w:num w:numId="12" w16cid:durableId="739714433">
    <w:abstractNumId w:val="16"/>
  </w:num>
  <w:num w:numId="13" w16cid:durableId="666831364">
    <w:abstractNumId w:val="3"/>
  </w:num>
  <w:num w:numId="14" w16cid:durableId="1187520415">
    <w:abstractNumId w:val="0"/>
  </w:num>
  <w:num w:numId="15" w16cid:durableId="832381434">
    <w:abstractNumId w:val="4"/>
  </w:num>
  <w:num w:numId="16" w16cid:durableId="2114398711">
    <w:abstractNumId w:val="5"/>
  </w:num>
  <w:num w:numId="17" w16cid:durableId="1918401143">
    <w:abstractNumId w:val="13"/>
  </w:num>
  <w:num w:numId="18" w16cid:durableId="177925229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1E"/>
    <w:rsid w:val="00001131"/>
    <w:rsid w:val="00002CFA"/>
    <w:rsid w:val="00004122"/>
    <w:rsid w:val="000068E3"/>
    <w:rsid w:val="00007D70"/>
    <w:rsid w:val="00011EFF"/>
    <w:rsid w:val="00013A30"/>
    <w:rsid w:val="000170D2"/>
    <w:rsid w:val="00021F2B"/>
    <w:rsid w:val="00022255"/>
    <w:rsid w:val="000230BE"/>
    <w:rsid w:val="00025F65"/>
    <w:rsid w:val="00026093"/>
    <w:rsid w:val="00026B5B"/>
    <w:rsid w:val="00026E3C"/>
    <w:rsid w:val="000279E7"/>
    <w:rsid w:val="0003013F"/>
    <w:rsid w:val="0003154C"/>
    <w:rsid w:val="000323C6"/>
    <w:rsid w:val="000326C2"/>
    <w:rsid w:val="00032F52"/>
    <w:rsid w:val="0003304F"/>
    <w:rsid w:val="00035309"/>
    <w:rsid w:val="0003603D"/>
    <w:rsid w:val="0003750C"/>
    <w:rsid w:val="00041721"/>
    <w:rsid w:val="000417DA"/>
    <w:rsid w:val="000437CF"/>
    <w:rsid w:val="0004474C"/>
    <w:rsid w:val="00044A95"/>
    <w:rsid w:val="00044DD4"/>
    <w:rsid w:val="000500F1"/>
    <w:rsid w:val="000512A5"/>
    <w:rsid w:val="000512F0"/>
    <w:rsid w:val="00053526"/>
    <w:rsid w:val="0005490B"/>
    <w:rsid w:val="00054F03"/>
    <w:rsid w:val="000554AF"/>
    <w:rsid w:val="0005556B"/>
    <w:rsid w:val="00055882"/>
    <w:rsid w:val="000566E5"/>
    <w:rsid w:val="00063563"/>
    <w:rsid w:val="00063694"/>
    <w:rsid w:val="00071659"/>
    <w:rsid w:val="0007216B"/>
    <w:rsid w:val="00072CD0"/>
    <w:rsid w:val="00076B45"/>
    <w:rsid w:val="000805D7"/>
    <w:rsid w:val="000806C9"/>
    <w:rsid w:val="000853C7"/>
    <w:rsid w:val="000869AD"/>
    <w:rsid w:val="000873EB"/>
    <w:rsid w:val="00087D4A"/>
    <w:rsid w:val="0009094B"/>
    <w:rsid w:val="000909E3"/>
    <w:rsid w:val="000918F6"/>
    <w:rsid w:val="00092205"/>
    <w:rsid w:val="000960A1"/>
    <w:rsid w:val="000A2BFE"/>
    <w:rsid w:val="000A4CBF"/>
    <w:rsid w:val="000A4CC7"/>
    <w:rsid w:val="000A6E3C"/>
    <w:rsid w:val="000A736E"/>
    <w:rsid w:val="000A7457"/>
    <w:rsid w:val="000B15B7"/>
    <w:rsid w:val="000B15CF"/>
    <w:rsid w:val="000B1F8B"/>
    <w:rsid w:val="000B4E8D"/>
    <w:rsid w:val="000B6647"/>
    <w:rsid w:val="000B6D52"/>
    <w:rsid w:val="000B72BE"/>
    <w:rsid w:val="000C2BD5"/>
    <w:rsid w:val="000C568E"/>
    <w:rsid w:val="000D11DA"/>
    <w:rsid w:val="000D2D15"/>
    <w:rsid w:val="000D44F0"/>
    <w:rsid w:val="000D608E"/>
    <w:rsid w:val="000D617E"/>
    <w:rsid w:val="000D7301"/>
    <w:rsid w:val="000E5BEA"/>
    <w:rsid w:val="000E69CB"/>
    <w:rsid w:val="000F196E"/>
    <w:rsid w:val="000F3879"/>
    <w:rsid w:val="000F4162"/>
    <w:rsid w:val="000F43C7"/>
    <w:rsid w:val="000F5FA0"/>
    <w:rsid w:val="000F62E7"/>
    <w:rsid w:val="000F7F7F"/>
    <w:rsid w:val="00100463"/>
    <w:rsid w:val="00102E83"/>
    <w:rsid w:val="00103781"/>
    <w:rsid w:val="00106125"/>
    <w:rsid w:val="00110810"/>
    <w:rsid w:val="00113CAC"/>
    <w:rsid w:val="001149F8"/>
    <w:rsid w:val="001169FB"/>
    <w:rsid w:val="00121CF0"/>
    <w:rsid w:val="00122617"/>
    <w:rsid w:val="00124824"/>
    <w:rsid w:val="00125440"/>
    <w:rsid w:val="00125656"/>
    <w:rsid w:val="0013109D"/>
    <w:rsid w:val="001325F8"/>
    <w:rsid w:val="00133556"/>
    <w:rsid w:val="001357AA"/>
    <w:rsid w:val="001361C7"/>
    <w:rsid w:val="001368E6"/>
    <w:rsid w:val="001370DF"/>
    <w:rsid w:val="0014147F"/>
    <w:rsid w:val="0014151E"/>
    <w:rsid w:val="00144436"/>
    <w:rsid w:val="00145926"/>
    <w:rsid w:val="001504BA"/>
    <w:rsid w:val="001509D5"/>
    <w:rsid w:val="00150B39"/>
    <w:rsid w:val="00150F7B"/>
    <w:rsid w:val="001533EB"/>
    <w:rsid w:val="001555F2"/>
    <w:rsid w:val="00157E41"/>
    <w:rsid w:val="00157FB3"/>
    <w:rsid w:val="00170411"/>
    <w:rsid w:val="00170935"/>
    <w:rsid w:val="0017228E"/>
    <w:rsid w:val="001724EC"/>
    <w:rsid w:val="00172604"/>
    <w:rsid w:val="0017574A"/>
    <w:rsid w:val="001832D9"/>
    <w:rsid w:val="001834C2"/>
    <w:rsid w:val="0018403E"/>
    <w:rsid w:val="0018413A"/>
    <w:rsid w:val="0018560E"/>
    <w:rsid w:val="00186290"/>
    <w:rsid w:val="00187A61"/>
    <w:rsid w:val="0019048A"/>
    <w:rsid w:val="0019097E"/>
    <w:rsid w:val="0019231F"/>
    <w:rsid w:val="00196D68"/>
    <w:rsid w:val="001972B5"/>
    <w:rsid w:val="00197C5A"/>
    <w:rsid w:val="001A021A"/>
    <w:rsid w:val="001A3723"/>
    <w:rsid w:val="001A5847"/>
    <w:rsid w:val="001B1E38"/>
    <w:rsid w:val="001B22D4"/>
    <w:rsid w:val="001B32E5"/>
    <w:rsid w:val="001B3304"/>
    <w:rsid w:val="001B58A4"/>
    <w:rsid w:val="001B6A92"/>
    <w:rsid w:val="001B6F44"/>
    <w:rsid w:val="001C2EB7"/>
    <w:rsid w:val="001C4938"/>
    <w:rsid w:val="001C5826"/>
    <w:rsid w:val="001C6CEF"/>
    <w:rsid w:val="001D0482"/>
    <w:rsid w:val="001D2A91"/>
    <w:rsid w:val="001D65D3"/>
    <w:rsid w:val="001D6EE6"/>
    <w:rsid w:val="001E1DC3"/>
    <w:rsid w:val="001E738B"/>
    <w:rsid w:val="001E7490"/>
    <w:rsid w:val="001F077B"/>
    <w:rsid w:val="001F472E"/>
    <w:rsid w:val="001F4EB2"/>
    <w:rsid w:val="001F79A2"/>
    <w:rsid w:val="002023FC"/>
    <w:rsid w:val="002026F3"/>
    <w:rsid w:val="002029B0"/>
    <w:rsid w:val="00202F85"/>
    <w:rsid w:val="00203ED1"/>
    <w:rsid w:val="00205DDB"/>
    <w:rsid w:val="00205DE2"/>
    <w:rsid w:val="00207926"/>
    <w:rsid w:val="002101D2"/>
    <w:rsid w:val="0021067C"/>
    <w:rsid w:val="00215502"/>
    <w:rsid w:val="00215938"/>
    <w:rsid w:val="00220411"/>
    <w:rsid w:val="002217FD"/>
    <w:rsid w:val="00225B22"/>
    <w:rsid w:val="00226610"/>
    <w:rsid w:val="00226CAD"/>
    <w:rsid w:val="00230660"/>
    <w:rsid w:val="00234254"/>
    <w:rsid w:val="0023680A"/>
    <w:rsid w:val="00240BFF"/>
    <w:rsid w:val="00240C55"/>
    <w:rsid w:val="00241E3C"/>
    <w:rsid w:val="0024626C"/>
    <w:rsid w:val="002500B4"/>
    <w:rsid w:val="00251D9A"/>
    <w:rsid w:val="00251F81"/>
    <w:rsid w:val="002636E6"/>
    <w:rsid w:val="0026388D"/>
    <w:rsid w:val="002665DB"/>
    <w:rsid w:val="00266DE6"/>
    <w:rsid w:val="002700CD"/>
    <w:rsid w:val="00270612"/>
    <w:rsid w:val="00272F44"/>
    <w:rsid w:val="00275720"/>
    <w:rsid w:val="00275FAA"/>
    <w:rsid w:val="00292C9D"/>
    <w:rsid w:val="00293C61"/>
    <w:rsid w:val="0029479B"/>
    <w:rsid w:val="002A08A5"/>
    <w:rsid w:val="002A1004"/>
    <w:rsid w:val="002A459E"/>
    <w:rsid w:val="002A58F6"/>
    <w:rsid w:val="002A5E62"/>
    <w:rsid w:val="002A60A3"/>
    <w:rsid w:val="002A7878"/>
    <w:rsid w:val="002AC8F9"/>
    <w:rsid w:val="002B2563"/>
    <w:rsid w:val="002B2BF0"/>
    <w:rsid w:val="002B3808"/>
    <w:rsid w:val="002B7539"/>
    <w:rsid w:val="002C3298"/>
    <w:rsid w:val="002D4BFB"/>
    <w:rsid w:val="002D5F4A"/>
    <w:rsid w:val="002E0548"/>
    <w:rsid w:val="002E2116"/>
    <w:rsid w:val="002E4084"/>
    <w:rsid w:val="002E45C6"/>
    <w:rsid w:val="002F0AF3"/>
    <w:rsid w:val="002F3F7E"/>
    <w:rsid w:val="002F567A"/>
    <w:rsid w:val="002F61A3"/>
    <w:rsid w:val="002F678E"/>
    <w:rsid w:val="002F6B0B"/>
    <w:rsid w:val="00300E23"/>
    <w:rsid w:val="003013B3"/>
    <w:rsid w:val="00302781"/>
    <w:rsid w:val="00302CB2"/>
    <w:rsid w:val="003052C0"/>
    <w:rsid w:val="00306C54"/>
    <w:rsid w:val="00306D84"/>
    <w:rsid w:val="003107A5"/>
    <w:rsid w:val="00312F48"/>
    <w:rsid w:val="003132E9"/>
    <w:rsid w:val="00316012"/>
    <w:rsid w:val="0031767D"/>
    <w:rsid w:val="0032235E"/>
    <w:rsid w:val="00323902"/>
    <w:rsid w:val="0033149A"/>
    <w:rsid w:val="00333501"/>
    <w:rsid w:val="00334C1D"/>
    <w:rsid w:val="00336735"/>
    <w:rsid w:val="0034131E"/>
    <w:rsid w:val="00346AD9"/>
    <w:rsid w:val="003470F9"/>
    <w:rsid w:val="00347207"/>
    <w:rsid w:val="00350B2A"/>
    <w:rsid w:val="00352B26"/>
    <w:rsid w:val="003530F0"/>
    <w:rsid w:val="00355793"/>
    <w:rsid w:val="00356430"/>
    <w:rsid w:val="0035750B"/>
    <w:rsid w:val="00357DC5"/>
    <w:rsid w:val="0036034E"/>
    <w:rsid w:val="003635D0"/>
    <w:rsid w:val="00365625"/>
    <w:rsid w:val="00366F6B"/>
    <w:rsid w:val="00371792"/>
    <w:rsid w:val="00372049"/>
    <w:rsid w:val="00372AD6"/>
    <w:rsid w:val="00372C87"/>
    <w:rsid w:val="00373468"/>
    <w:rsid w:val="003738A9"/>
    <w:rsid w:val="003743D2"/>
    <w:rsid w:val="0037527F"/>
    <w:rsid w:val="003754C3"/>
    <w:rsid w:val="00376C36"/>
    <w:rsid w:val="00381915"/>
    <w:rsid w:val="00382F06"/>
    <w:rsid w:val="003845A2"/>
    <w:rsid w:val="003871DC"/>
    <w:rsid w:val="0039534F"/>
    <w:rsid w:val="0039642A"/>
    <w:rsid w:val="003A15A6"/>
    <w:rsid w:val="003A161C"/>
    <w:rsid w:val="003A6ABA"/>
    <w:rsid w:val="003B08CC"/>
    <w:rsid w:val="003B1B90"/>
    <w:rsid w:val="003B33E3"/>
    <w:rsid w:val="003B3C5A"/>
    <w:rsid w:val="003B4902"/>
    <w:rsid w:val="003B6073"/>
    <w:rsid w:val="003C0022"/>
    <w:rsid w:val="003C379A"/>
    <w:rsid w:val="003C436C"/>
    <w:rsid w:val="003D02D9"/>
    <w:rsid w:val="003D2293"/>
    <w:rsid w:val="003D3B1C"/>
    <w:rsid w:val="003D5524"/>
    <w:rsid w:val="003D603D"/>
    <w:rsid w:val="003D778A"/>
    <w:rsid w:val="003E219E"/>
    <w:rsid w:val="003E22C4"/>
    <w:rsid w:val="003E290B"/>
    <w:rsid w:val="003E2FB8"/>
    <w:rsid w:val="003E6181"/>
    <w:rsid w:val="003E7120"/>
    <w:rsid w:val="003F0F9B"/>
    <w:rsid w:val="003F3ADE"/>
    <w:rsid w:val="003F772C"/>
    <w:rsid w:val="00405466"/>
    <w:rsid w:val="00405589"/>
    <w:rsid w:val="00406D45"/>
    <w:rsid w:val="0040794F"/>
    <w:rsid w:val="0041414D"/>
    <w:rsid w:val="00415E67"/>
    <w:rsid w:val="004162FF"/>
    <w:rsid w:val="00416B5D"/>
    <w:rsid w:val="00417C1A"/>
    <w:rsid w:val="004238E3"/>
    <w:rsid w:val="00426C72"/>
    <w:rsid w:val="00427E2A"/>
    <w:rsid w:val="004321E1"/>
    <w:rsid w:val="00440013"/>
    <w:rsid w:val="004402DC"/>
    <w:rsid w:val="00441DDD"/>
    <w:rsid w:val="00443A93"/>
    <w:rsid w:val="00447E8B"/>
    <w:rsid w:val="0045258F"/>
    <w:rsid w:val="004533ED"/>
    <w:rsid w:val="0045496E"/>
    <w:rsid w:val="0045562B"/>
    <w:rsid w:val="00457E63"/>
    <w:rsid w:val="00461C46"/>
    <w:rsid w:val="00463785"/>
    <w:rsid w:val="00464CCF"/>
    <w:rsid w:val="004659A4"/>
    <w:rsid w:val="004667CC"/>
    <w:rsid w:val="00472494"/>
    <w:rsid w:val="0047282A"/>
    <w:rsid w:val="00473102"/>
    <w:rsid w:val="00473E1B"/>
    <w:rsid w:val="00475FD5"/>
    <w:rsid w:val="00477574"/>
    <w:rsid w:val="00483A6A"/>
    <w:rsid w:val="00484792"/>
    <w:rsid w:val="00492C10"/>
    <w:rsid w:val="004942CF"/>
    <w:rsid w:val="004947B0"/>
    <w:rsid w:val="00495890"/>
    <w:rsid w:val="004A2108"/>
    <w:rsid w:val="004A3A16"/>
    <w:rsid w:val="004A590F"/>
    <w:rsid w:val="004B0ABE"/>
    <w:rsid w:val="004B1BA1"/>
    <w:rsid w:val="004B4113"/>
    <w:rsid w:val="004B60B7"/>
    <w:rsid w:val="004B6C7F"/>
    <w:rsid w:val="004B7CF9"/>
    <w:rsid w:val="004C0418"/>
    <w:rsid w:val="004C1815"/>
    <w:rsid w:val="004C218A"/>
    <w:rsid w:val="004C278C"/>
    <w:rsid w:val="004C41D6"/>
    <w:rsid w:val="004D0491"/>
    <w:rsid w:val="004D1A4F"/>
    <w:rsid w:val="004D1DDF"/>
    <w:rsid w:val="004D2AA6"/>
    <w:rsid w:val="004D52D6"/>
    <w:rsid w:val="004D721E"/>
    <w:rsid w:val="004E19D2"/>
    <w:rsid w:val="004E3B8A"/>
    <w:rsid w:val="004E4B6B"/>
    <w:rsid w:val="004E4DB3"/>
    <w:rsid w:val="004E5017"/>
    <w:rsid w:val="004E557D"/>
    <w:rsid w:val="004E5676"/>
    <w:rsid w:val="004F0CD2"/>
    <w:rsid w:val="004F29BB"/>
    <w:rsid w:val="004F30C5"/>
    <w:rsid w:val="004F748A"/>
    <w:rsid w:val="00500751"/>
    <w:rsid w:val="00501E6F"/>
    <w:rsid w:val="00504B71"/>
    <w:rsid w:val="00505983"/>
    <w:rsid w:val="00505EFC"/>
    <w:rsid w:val="005074D4"/>
    <w:rsid w:val="005124C6"/>
    <w:rsid w:val="00512CC2"/>
    <w:rsid w:val="00512E9D"/>
    <w:rsid w:val="005160D2"/>
    <w:rsid w:val="00520E7D"/>
    <w:rsid w:val="00522BCC"/>
    <w:rsid w:val="005309A9"/>
    <w:rsid w:val="005333AA"/>
    <w:rsid w:val="00534653"/>
    <w:rsid w:val="00542523"/>
    <w:rsid w:val="005438D4"/>
    <w:rsid w:val="00543B1F"/>
    <w:rsid w:val="00550198"/>
    <w:rsid w:val="00551AB2"/>
    <w:rsid w:val="005532E1"/>
    <w:rsid w:val="00562128"/>
    <w:rsid w:val="00562D4C"/>
    <w:rsid w:val="00563FF4"/>
    <w:rsid w:val="0056647B"/>
    <w:rsid w:val="005665AD"/>
    <w:rsid w:val="005667E4"/>
    <w:rsid w:val="00571E27"/>
    <w:rsid w:val="00573ECA"/>
    <w:rsid w:val="00574442"/>
    <w:rsid w:val="0057489F"/>
    <w:rsid w:val="005763AD"/>
    <w:rsid w:val="00576FC8"/>
    <w:rsid w:val="00577129"/>
    <w:rsid w:val="005771C8"/>
    <w:rsid w:val="0058030F"/>
    <w:rsid w:val="00582CBC"/>
    <w:rsid w:val="0058460A"/>
    <w:rsid w:val="00584BD2"/>
    <w:rsid w:val="00584EC4"/>
    <w:rsid w:val="005868FD"/>
    <w:rsid w:val="0058785C"/>
    <w:rsid w:val="00590726"/>
    <w:rsid w:val="00590FFE"/>
    <w:rsid w:val="00597F97"/>
    <w:rsid w:val="005A0C33"/>
    <w:rsid w:val="005A1424"/>
    <w:rsid w:val="005A23DC"/>
    <w:rsid w:val="005A49F7"/>
    <w:rsid w:val="005B0337"/>
    <w:rsid w:val="005B16E6"/>
    <w:rsid w:val="005B3F37"/>
    <w:rsid w:val="005D00A9"/>
    <w:rsid w:val="005D09EE"/>
    <w:rsid w:val="005D44D8"/>
    <w:rsid w:val="005D4DAC"/>
    <w:rsid w:val="005D5C33"/>
    <w:rsid w:val="005D62B1"/>
    <w:rsid w:val="005E081D"/>
    <w:rsid w:val="005E195F"/>
    <w:rsid w:val="005E28AA"/>
    <w:rsid w:val="005E4EB2"/>
    <w:rsid w:val="005E6567"/>
    <w:rsid w:val="005E7619"/>
    <w:rsid w:val="005E764B"/>
    <w:rsid w:val="005F0365"/>
    <w:rsid w:val="005F29B7"/>
    <w:rsid w:val="005F473E"/>
    <w:rsid w:val="005F48E0"/>
    <w:rsid w:val="005F55A9"/>
    <w:rsid w:val="005F57CC"/>
    <w:rsid w:val="00600759"/>
    <w:rsid w:val="00601634"/>
    <w:rsid w:val="006053DD"/>
    <w:rsid w:val="00605A7B"/>
    <w:rsid w:val="00606A2C"/>
    <w:rsid w:val="00613420"/>
    <w:rsid w:val="00615D5D"/>
    <w:rsid w:val="006161AE"/>
    <w:rsid w:val="0062434C"/>
    <w:rsid w:val="00624A0C"/>
    <w:rsid w:val="00630A42"/>
    <w:rsid w:val="006364CE"/>
    <w:rsid w:val="00636E0D"/>
    <w:rsid w:val="00637083"/>
    <w:rsid w:val="00641068"/>
    <w:rsid w:val="00643275"/>
    <w:rsid w:val="00643AAD"/>
    <w:rsid w:val="00643ACC"/>
    <w:rsid w:val="00646E30"/>
    <w:rsid w:val="006510CB"/>
    <w:rsid w:val="00654CB8"/>
    <w:rsid w:val="006552E5"/>
    <w:rsid w:val="00660196"/>
    <w:rsid w:val="00663CBD"/>
    <w:rsid w:val="00665B97"/>
    <w:rsid w:val="00665DC6"/>
    <w:rsid w:val="006662D7"/>
    <w:rsid w:val="006665A6"/>
    <w:rsid w:val="006674B5"/>
    <w:rsid w:val="00667F07"/>
    <w:rsid w:val="006733D2"/>
    <w:rsid w:val="00673AA3"/>
    <w:rsid w:val="00674645"/>
    <w:rsid w:val="00676E03"/>
    <w:rsid w:val="006807F3"/>
    <w:rsid w:val="00681FF5"/>
    <w:rsid w:val="0068256D"/>
    <w:rsid w:val="00682F4D"/>
    <w:rsid w:val="00683830"/>
    <w:rsid w:val="006847AE"/>
    <w:rsid w:val="0068486D"/>
    <w:rsid w:val="00691AE3"/>
    <w:rsid w:val="00693F0F"/>
    <w:rsid w:val="00697D42"/>
    <w:rsid w:val="006A2018"/>
    <w:rsid w:val="006A34B1"/>
    <w:rsid w:val="006A4129"/>
    <w:rsid w:val="006B4A20"/>
    <w:rsid w:val="006B6154"/>
    <w:rsid w:val="006B6631"/>
    <w:rsid w:val="006B6AC2"/>
    <w:rsid w:val="006B70BE"/>
    <w:rsid w:val="006C703E"/>
    <w:rsid w:val="006D0E3A"/>
    <w:rsid w:val="006D2B28"/>
    <w:rsid w:val="006D396B"/>
    <w:rsid w:val="006D4363"/>
    <w:rsid w:val="006D56C7"/>
    <w:rsid w:val="006D6342"/>
    <w:rsid w:val="006E4D06"/>
    <w:rsid w:val="006E6527"/>
    <w:rsid w:val="006E722E"/>
    <w:rsid w:val="006F3661"/>
    <w:rsid w:val="006F41E2"/>
    <w:rsid w:val="006F42C3"/>
    <w:rsid w:val="006F6A5C"/>
    <w:rsid w:val="006F728B"/>
    <w:rsid w:val="00703F6E"/>
    <w:rsid w:val="00705CB8"/>
    <w:rsid w:val="00711AC4"/>
    <w:rsid w:val="00712525"/>
    <w:rsid w:val="007134E8"/>
    <w:rsid w:val="00713975"/>
    <w:rsid w:val="00713AC2"/>
    <w:rsid w:val="00714118"/>
    <w:rsid w:val="007142AE"/>
    <w:rsid w:val="00715DAA"/>
    <w:rsid w:val="0071623A"/>
    <w:rsid w:val="00720D3A"/>
    <w:rsid w:val="007236FB"/>
    <w:rsid w:val="00723888"/>
    <w:rsid w:val="00724006"/>
    <w:rsid w:val="0072530A"/>
    <w:rsid w:val="00726216"/>
    <w:rsid w:val="00731B4D"/>
    <w:rsid w:val="00731E74"/>
    <w:rsid w:val="00733DD5"/>
    <w:rsid w:val="00735D83"/>
    <w:rsid w:val="007377A1"/>
    <w:rsid w:val="007404EB"/>
    <w:rsid w:val="00740751"/>
    <w:rsid w:val="0074182A"/>
    <w:rsid w:val="00746433"/>
    <w:rsid w:val="007464E8"/>
    <w:rsid w:val="00746E7F"/>
    <w:rsid w:val="00750263"/>
    <w:rsid w:val="0075122A"/>
    <w:rsid w:val="00751C9B"/>
    <w:rsid w:val="00751D20"/>
    <w:rsid w:val="007526FE"/>
    <w:rsid w:val="007529A9"/>
    <w:rsid w:val="007532BD"/>
    <w:rsid w:val="00753FBC"/>
    <w:rsid w:val="007549BB"/>
    <w:rsid w:val="00754BD4"/>
    <w:rsid w:val="0075745C"/>
    <w:rsid w:val="007624FC"/>
    <w:rsid w:val="00766424"/>
    <w:rsid w:val="00767784"/>
    <w:rsid w:val="007724F6"/>
    <w:rsid w:val="00773518"/>
    <w:rsid w:val="0078018B"/>
    <w:rsid w:val="007818AD"/>
    <w:rsid w:val="00782B7D"/>
    <w:rsid w:val="00783119"/>
    <w:rsid w:val="00786893"/>
    <w:rsid w:val="007939DF"/>
    <w:rsid w:val="00793DB6"/>
    <w:rsid w:val="007A18EE"/>
    <w:rsid w:val="007A254F"/>
    <w:rsid w:val="007A4627"/>
    <w:rsid w:val="007A4899"/>
    <w:rsid w:val="007A788E"/>
    <w:rsid w:val="007A7BB9"/>
    <w:rsid w:val="007B31F5"/>
    <w:rsid w:val="007B3D8D"/>
    <w:rsid w:val="007B551B"/>
    <w:rsid w:val="007C0C80"/>
    <w:rsid w:val="007C737A"/>
    <w:rsid w:val="007C753D"/>
    <w:rsid w:val="007C7B55"/>
    <w:rsid w:val="007D00E4"/>
    <w:rsid w:val="007D0948"/>
    <w:rsid w:val="007D1E1B"/>
    <w:rsid w:val="007D48EF"/>
    <w:rsid w:val="007D60A1"/>
    <w:rsid w:val="007D630D"/>
    <w:rsid w:val="007D6B86"/>
    <w:rsid w:val="007E0322"/>
    <w:rsid w:val="007E0B9C"/>
    <w:rsid w:val="007E0FDF"/>
    <w:rsid w:val="007E495E"/>
    <w:rsid w:val="007F01E3"/>
    <w:rsid w:val="007F3A12"/>
    <w:rsid w:val="007F7CA8"/>
    <w:rsid w:val="007F7F24"/>
    <w:rsid w:val="00801E8F"/>
    <w:rsid w:val="0080284E"/>
    <w:rsid w:val="008028C5"/>
    <w:rsid w:val="008038FA"/>
    <w:rsid w:val="0080549B"/>
    <w:rsid w:val="00807F02"/>
    <w:rsid w:val="0081117A"/>
    <w:rsid w:val="008230E8"/>
    <w:rsid w:val="00824205"/>
    <w:rsid w:val="0082425B"/>
    <w:rsid w:val="008334DC"/>
    <w:rsid w:val="0083385A"/>
    <w:rsid w:val="00833CE7"/>
    <w:rsid w:val="00833D4F"/>
    <w:rsid w:val="00837C84"/>
    <w:rsid w:val="0084066C"/>
    <w:rsid w:val="00841129"/>
    <w:rsid w:val="00843CB8"/>
    <w:rsid w:val="00845257"/>
    <w:rsid w:val="00847878"/>
    <w:rsid w:val="008508BA"/>
    <w:rsid w:val="00850C2C"/>
    <w:rsid w:val="00852FE8"/>
    <w:rsid w:val="00853BE0"/>
    <w:rsid w:val="00853C9D"/>
    <w:rsid w:val="00854563"/>
    <w:rsid w:val="00857B31"/>
    <w:rsid w:val="0086068E"/>
    <w:rsid w:val="00861582"/>
    <w:rsid w:val="00862621"/>
    <w:rsid w:val="00867695"/>
    <w:rsid w:val="00870D53"/>
    <w:rsid w:val="008722F4"/>
    <w:rsid w:val="008732C3"/>
    <w:rsid w:val="00874F79"/>
    <w:rsid w:val="00875B56"/>
    <w:rsid w:val="008772FF"/>
    <w:rsid w:val="00880B27"/>
    <w:rsid w:val="008822E0"/>
    <w:rsid w:val="0088391F"/>
    <w:rsid w:val="008919FD"/>
    <w:rsid w:val="00892141"/>
    <w:rsid w:val="0089500B"/>
    <w:rsid w:val="0089688A"/>
    <w:rsid w:val="00896B75"/>
    <w:rsid w:val="008A16A5"/>
    <w:rsid w:val="008B1380"/>
    <w:rsid w:val="008B282B"/>
    <w:rsid w:val="008B3796"/>
    <w:rsid w:val="008B41AE"/>
    <w:rsid w:val="008B667A"/>
    <w:rsid w:val="008C1718"/>
    <w:rsid w:val="008C1849"/>
    <w:rsid w:val="008C5C42"/>
    <w:rsid w:val="008C6AC0"/>
    <w:rsid w:val="008C7B27"/>
    <w:rsid w:val="008D36E2"/>
    <w:rsid w:val="008D4734"/>
    <w:rsid w:val="008D77A2"/>
    <w:rsid w:val="008D7C6D"/>
    <w:rsid w:val="008E41D9"/>
    <w:rsid w:val="008E530B"/>
    <w:rsid w:val="008F3210"/>
    <w:rsid w:val="008F4119"/>
    <w:rsid w:val="008F4B3F"/>
    <w:rsid w:val="008F64D6"/>
    <w:rsid w:val="00901F69"/>
    <w:rsid w:val="00902C0B"/>
    <w:rsid w:val="00904EF9"/>
    <w:rsid w:val="00905875"/>
    <w:rsid w:val="00915638"/>
    <w:rsid w:val="00917041"/>
    <w:rsid w:val="00920084"/>
    <w:rsid w:val="00920D3A"/>
    <w:rsid w:val="0092607F"/>
    <w:rsid w:val="00926A44"/>
    <w:rsid w:val="00926BB0"/>
    <w:rsid w:val="00930D93"/>
    <w:rsid w:val="00931361"/>
    <w:rsid w:val="00931369"/>
    <w:rsid w:val="009322E3"/>
    <w:rsid w:val="009350D3"/>
    <w:rsid w:val="00936408"/>
    <w:rsid w:val="00937F51"/>
    <w:rsid w:val="00941FE5"/>
    <w:rsid w:val="0094201D"/>
    <w:rsid w:val="009437D4"/>
    <w:rsid w:val="00944B48"/>
    <w:rsid w:val="00953915"/>
    <w:rsid w:val="00957865"/>
    <w:rsid w:val="00957C37"/>
    <w:rsid w:val="009602CE"/>
    <w:rsid w:val="0096069A"/>
    <w:rsid w:val="00961E0C"/>
    <w:rsid w:val="009631D2"/>
    <w:rsid w:val="009641F2"/>
    <w:rsid w:val="00964ABE"/>
    <w:rsid w:val="00965577"/>
    <w:rsid w:val="00965623"/>
    <w:rsid w:val="0097194D"/>
    <w:rsid w:val="00971FE1"/>
    <w:rsid w:val="00972EE6"/>
    <w:rsid w:val="00973890"/>
    <w:rsid w:val="009748EF"/>
    <w:rsid w:val="009762B7"/>
    <w:rsid w:val="0097713A"/>
    <w:rsid w:val="00980339"/>
    <w:rsid w:val="009830BB"/>
    <w:rsid w:val="00986382"/>
    <w:rsid w:val="00986C5E"/>
    <w:rsid w:val="00987482"/>
    <w:rsid w:val="00987724"/>
    <w:rsid w:val="00992808"/>
    <w:rsid w:val="009952CA"/>
    <w:rsid w:val="00995A79"/>
    <w:rsid w:val="00997294"/>
    <w:rsid w:val="00997EF9"/>
    <w:rsid w:val="009A3083"/>
    <w:rsid w:val="009A6777"/>
    <w:rsid w:val="009A6BE4"/>
    <w:rsid w:val="009C2205"/>
    <w:rsid w:val="009C2F55"/>
    <w:rsid w:val="009C4605"/>
    <w:rsid w:val="009D059A"/>
    <w:rsid w:val="009D2D54"/>
    <w:rsid w:val="009D6110"/>
    <w:rsid w:val="009D649A"/>
    <w:rsid w:val="009D6E49"/>
    <w:rsid w:val="009D71F7"/>
    <w:rsid w:val="009E4AFC"/>
    <w:rsid w:val="009E51A9"/>
    <w:rsid w:val="009F081E"/>
    <w:rsid w:val="009F2DD8"/>
    <w:rsid w:val="009F4EA4"/>
    <w:rsid w:val="009F5D79"/>
    <w:rsid w:val="00A00233"/>
    <w:rsid w:val="00A0047A"/>
    <w:rsid w:val="00A00828"/>
    <w:rsid w:val="00A03467"/>
    <w:rsid w:val="00A04D0F"/>
    <w:rsid w:val="00A0688B"/>
    <w:rsid w:val="00A120D0"/>
    <w:rsid w:val="00A12632"/>
    <w:rsid w:val="00A1478E"/>
    <w:rsid w:val="00A14BDA"/>
    <w:rsid w:val="00A153E8"/>
    <w:rsid w:val="00A15675"/>
    <w:rsid w:val="00A21212"/>
    <w:rsid w:val="00A214CE"/>
    <w:rsid w:val="00A26572"/>
    <w:rsid w:val="00A2730F"/>
    <w:rsid w:val="00A31F02"/>
    <w:rsid w:val="00A329FB"/>
    <w:rsid w:val="00A33DFB"/>
    <w:rsid w:val="00A34761"/>
    <w:rsid w:val="00A35A72"/>
    <w:rsid w:val="00A41638"/>
    <w:rsid w:val="00A446DD"/>
    <w:rsid w:val="00A458BE"/>
    <w:rsid w:val="00A459D9"/>
    <w:rsid w:val="00A50C82"/>
    <w:rsid w:val="00A514EC"/>
    <w:rsid w:val="00A51A29"/>
    <w:rsid w:val="00A5588B"/>
    <w:rsid w:val="00A63651"/>
    <w:rsid w:val="00A6484B"/>
    <w:rsid w:val="00A65BCF"/>
    <w:rsid w:val="00A70562"/>
    <w:rsid w:val="00A72075"/>
    <w:rsid w:val="00A73751"/>
    <w:rsid w:val="00A73F40"/>
    <w:rsid w:val="00A74DCA"/>
    <w:rsid w:val="00A764F7"/>
    <w:rsid w:val="00A76561"/>
    <w:rsid w:val="00A849F0"/>
    <w:rsid w:val="00A84B26"/>
    <w:rsid w:val="00A875B9"/>
    <w:rsid w:val="00A87619"/>
    <w:rsid w:val="00A906EA"/>
    <w:rsid w:val="00A93D6B"/>
    <w:rsid w:val="00A942B7"/>
    <w:rsid w:val="00A9530E"/>
    <w:rsid w:val="00A95D2A"/>
    <w:rsid w:val="00A963A0"/>
    <w:rsid w:val="00AA03D3"/>
    <w:rsid w:val="00AA05B7"/>
    <w:rsid w:val="00AA27C3"/>
    <w:rsid w:val="00AA34BF"/>
    <w:rsid w:val="00AA663B"/>
    <w:rsid w:val="00AB0162"/>
    <w:rsid w:val="00AB1CC7"/>
    <w:rsid w:val="00AB2022"/>
    <w:rsid w:val="00AB3171"/>
    <w:rsid w:val="00AB4A5F"/>
    <w:rsid w:val="00AB6A8C"/>
    <w:rsid w:val="00AB6F03"/>
    <w:rsid w:val="00AC25DE"/>
    <w:rsid w:val="00AD5033"/>
    <w:rsid w:val="00AD5819"/>
    <w:rsid w:val="00AE6FF0"/>
    <w:rsid w:val="00AF527D"/>
    <w:rsid w:val="00B02976"/>
    <w:rsid w:val="00B12265"/>
    <w:rsid w:val="00B127EA"/>
    <w:rsid w:val="00B143A4"/>
    <w:rsid w:val="00B15D8C"/>
    <w:rsid w:val="00B16C0F"/>
    <w:rsid w:val="00B22F05"/>
    <w:rsid w:val="00B23C31"/>
    <w:rsid w:val="00B23DE2"/>
    <w:rsid w:val="00B30F9E"/>
    <w:rsid w:val="00B31EC4"/>
    <w:rsid w:val="00B34068"/>
    <w:rsid w:val="00B35B98"/>
    <w:rsid w:val="00B36776"/>
    <w:rsid w:val="00B36B0E"/>
    <w:rsid w:val="00B36B85"/>
    <w:rsid w:val="00B40130"/>
    <w:rsid w:val="00B412B0"/>
    <w:rsid w:val="00B43D04"/>
    <w:rsid w:val="00B43E11"/>
    <w:rsid w:val="00B472F1"/>
    <w:rsid w:val="00B52170"/>
    <w:rsid w:val="00B54CAF"/>
    <w:rsid w:val="00B56180"/>
    <w:rsid w:val="00B565C4"/>
    <w:rsid w:val="00B64960"/>
    <w:rsid w:val="00B64D87"/>
    <w:rsid w:val="00B67EE4"/>
    <w:rsid w:val="00B70AFB"/>
    <w:rsid w:val="00B73F27"/>
    <w:rsid w:val="00B75D51"/>
    <w:rsid w:val="00B763A7"/>
    <w:rsid w:val="00B92109"/>
    <w:rsid w:val="00B96983"/>
    <w:rsid w:val="00B9712C"/>
    <w:rsid w:val="00BA20C4"/>
    <w:rsid w:val="00BA602F"/>
    <w:rsid w:val="00BA70E9"/>
    <w:rsid w:val="00BB1A51"/>
    <w:rsid w:val="00BB21A0"/>
    <w:rsid w:val="00BB29B5"/>
    <w:rsid w:val="00BB4148"/>
    <w:rsid w:val="00BB6FF4"/>
    <w:rsid w:val="00BC2C3B"/>
    <w:rsid w:val="00BC30A8"/>
    <w:rsid w:val="00BC52B4"/>
    <w:rsid w:val="00BC6A55"/>
    <w:rsid w:val="00BC7B11"/>
    <w:rsid w:val="00BD0062"/>
    <w:rsid w:val="00BD124C"/>
    <w:rsid w:val="00BD2594"/>
    <w:rsid w:val="00BD5874"/>
    <w:rsid w:val="00BE008C"/>
    <w:rsid w:val="00BE1228"/>
    <w:rsid w:val="00BE4813"/>
    <w:rsid w:val="00BE6107"/>
    <w:rsid w:val="00BE6191"/>
    <w:rsid w:val="00BF251A"/>
    <w:rsid w:val="00BF2B35"/>
    <w:rsid w:val="00BF2B92"/>
    <w:rsid w:val="00BF506B"/>
    <w:rsid w:val="00C03BAF"/>
    <w:rsid w:val="00C04F74"/>
    <w:rsid w:val="00C05128"/>
    <w:rsid w:val="00C07602"/>
    <w:rsid w:val="00C07913"/>
    <w:rsid w:val="00C14B73"/>
    <w:rsid w:val="00C16BE2"/>
    <w:rsid w:val="00C224DC"/>
    <w:rsid w:val="00C241ED"/>
    <w:rsid w:val="00C247B0"/>
    <w:rsid w:val="00C263B9"/>
    <w:rsid w:val="00C264BB"/>
    <w:rsid w:val="00C2742B"/>
    <w:rsid w:val="00C27DEB"/>
    <w:rsid w:val="00C355E6"/>
    <w:rsid w:val="00C35DD4"/>
    <w:rsid w:val="00C36BB2"/>
    <w:rsid w:val="00C36F8C"/>
    <w:rsid w:val="00C40BEB"/>
    <w:rsid w:val="00C41AD7"/>
    <w:rsid w:val="00C42194"/>
    <w:rsid w:val="00C453FE"/>
    <w:rsid w:val="00C52463"/>
    <w:rsid w:val="00C5391C"/>
    <w:rsid w:val="00C53F92"/>
    <w:rsid w:val="00C5487A"/>
    <w:rsid w:val="00C54FD6"/>
    <w:rsid w:val="00C56076"/>
    <w:rsid w:val="00C5607B"/>
    <w:rsid w:val="00C5693F"/>
    <w:rsid w:val="00C61027"/>
    <w:rsid w:val="00C62290"/>
    <w:rsid w:val="00C632C3"/>
    <w:rsid w:val="00C63AA1"/>
    <w:rsid w:val="00C71980"/>
    <w:rsid w:val="00C7766C"/>
    <w:rsid w:val="00C77C13"/>
    <w:rsid w:val="00C80B95"/>
    <w:rsid w:val="00C847F1"/>
    <w:rsid w:val="00C84F64"/>
    <w:rsid w:val="00C85D30"/>
    <w:rsid w:val="00C8691F"/>
    <w:rsid w:val="00C87017"/>
    <w:rsid w:val="00C90D89"/>
    <w:rsid w:val="00C95705"/>
    <w:rsid w:val="00CA154F"/>
    <w:rsid w:val="00CA6FAD"/>
    <w:rsid w:val="00CA713B"/>
    <w:rsid w:val="00CA72DC"/>
    <w:rsid w:val="00CB0361"/>
    <w:rsid w:val="00CB2292"/>
    <w:rsid w:val="00CB27EF"/>
    <w:rsid w:val="00CB3941"/>
    <w:rsid w:val="00CB6A71"/>
    <w:rsid w:val="00CB702A"/>
    <w:rsid w:val="00CB791B"/>
    <w:rsid w:val="00CC06C3"/>
    <w:rsid w:val="00CC637E"/>
    <w:rsid w:val="00CD4EB0"/>
    <w:rsid w:val="00CD5537"/>
    <w:rsid w:val="00CD5AEC"/>
    <w:rsid w:val="00CD72E9"/>
    <w:rsid w:val="00CE1102"/>
    <w:rsid w:val="00CE15AF"/>
    <w:rsid w:val="00CE52F4"/>
    <w:rsid w:val="00CF029D"/>
    <w:rsid w:val="00CF30BA"/>
    <w:rsid w:val="00CF32BE"/>
    <w:rsid w:val="00CF535C"/>
    <w:rsid w:val="00CF6A68"/>
    <w:rsid w:val="00D033DB"/>
    <w:rsid w:val="00D03656"/>
    <w:rsid w:val="00D0419E"/>
    <w:rsid w:val="00D07E60"/>
    <w:rsid w:val="00D1158E"/>
    <w:rsid w:val="00D13FE4"/>
    <w:rsid w:val="00D14B66"/>
    <w:rsid w:val="00D1534D"/>
    <w:rsid w:val="00D16F0C"/>
    <w:rsid w:val="00D17EE6"/>
    <w:rsid w:val="00D202A8"/>
    <w:rsid w:val="00D205FF"/>
    <w:rsid w:val="00D22A67"/>
    <w:rsid w:val="00D22C17"/>
    <w:rsid w:val="00D310B0"/>
    <w:rsid w:val="00D31468"/>
    <w:rsid w:val="00D3189C"/>
    <w:rsid w:val="00D339B9"/>
    <w:rsid w:val="00D34A09"/>
    <w:rsid w:val="00D34FA8"/>
    <w:rsid w:val="00D35854"/>
    <w:rsid w:val="00D3684E"/>
    <w:rsid w:val="00D5028A"/>
    <w:rsid w:val="00D503A4"/>
    <w:rsid w:val="00D50666"/>
    <w:rsid w:val="00D515DA"/>
    <w:rsid w:val="00D52F10"/>
    <w:rsid w:val="00D55F52"/>
    <w:rsid w:val="00D56F48"/>
    <w:rsid w:val="00D60657"/>
    <w:rsid w:val="00D61362"/>
    <w:rsid w:val="00D65F74"/>
    <w:rsid w:val="00D676DA"/>
    <w:rsid w:val="00D72B0D"/>
    <w:rsid w:val="00D72C52"/>
    <w:rsid w:val="00D7376D"/>
    <w:rsid w:val="00D77823"/>
    <w:rsid w:val="00D77A2F"/>
    <w:rsid w:val="00D803AC"/>
    <w:rsid w:val="00D81B22"/>
    <w:rsid w:val="00D86BEA"/>
    <w:rsid w:val="00D87718"/>
    <w:rsid w:val="00D91B81"/>
    <w:rsid w:val="00D92E54"/>
    <w:rsid w:val="00D92F2E"/>
    <w:rsid w:val="00D94808"/>
    <w:rsid w:val="00D97C57"/>
    <w:rsid w:val="00DA01E7"/>
    <w:rsid w:val="00DA44E2"/>
    <w:rsid w:val="00DA4651"/>
    <w:rsid w:val="00DA5F7A"/>
    <w:rsid w:val="00DB05D1"/>
    <w:rsid w:val="00DB0FC4"/>
    <w:rsid w:val="00DB1135"/>
    <w:rsid w:val="00DB4759"/>
    <w:rsid w:val="00DB5F89"/>
    <w:rsid w:val="00DB6C5A"/>
    <w:rsid w:val="00DC39E7"/>
    <w:rsid w:val="00DC4D94"/>
    <w:rsid w:val="00DC631B"/>
    <w:rsid w:val="00DC6AAC"/>
    <w:rsid w:val="00DD214E"/>
    <w:rsid w:val="00DD3D1D"/>
    <w:rsid w:val="00DD5276"/>
    <w:rsid w:val="00DD6076"/>
    <w:rsid w:val="00DE08BD"/>
    <w:rsid w:val="00DE0B37"/>
    <w:rsid w:val="00DE0C25"/>
    <w:rsid w:val="00DE42DC"/>
    <w:rsid w:val="00DE5AE9"/>
    <w:rsid w:val="00DE7FC7"/>
    <w:rsid w:val="00DF0056"/>
    <w:rsid w:val="00DF10D7"/>
    <w:rsid w:val="00DF1697"/>
    <w:rsid w:val="00DF1BE7"/>
    <w:rsid w:val="00DF2A96"/>
    <w:rsid w:val="00DF46C4"/>
    <w:rsid w:val="00DF570B"/>
    <w:rsid w:val="00DF626A"/>
    <w:rsid w:val="00E00D5F"/>
    <w:rsid w:val="00E01BFF"/>
    <w:rsid w:val="00E03607"/>
    <w:rsid w:val="00E14BA0"/>
    <w:rsid w:val="00E17452"/>
    <w:rsid w:val="00E21942"/>
    <w:rsid w:val="00E21E9B"/>
    <w:rsid w:val="00E22330"/>
    <w:rsid w:val="00E2459A"/>
    <w:rsid w:val="00E302BB"/>
    <w:rsid w:val="00E31016"/>
    <w:rsid w:val="00E31722"/>
    <w:rsid w:val="00E319AC"/>
    <w:rsid w:val="00E36C9E"/>
    <w:rsid w:val="00E41A72"/>
    <w:rsid w:val="00E42E97"/>
    <w:rsid w:val="00E43DD3"/>
    <w:rsid w:val="00E52092"/>
    <w:rsid w:val="00E56843"/>
    <w:rsid w:val="00E608EB"/>
    <w:rsid w:val="00E61AA5"/>
    <w:rsid w:val="00E62368"/>
    <w:rsid w:val="00E642FB"/>
    <w:rsid w:val="00E66057"/>
    <w:rsid w:val="00E660F9"/>
    <w:rsid w:val="00E6680E"/>
    <w:rsid w:val="00E7181B"/>
    <w:rsid w:val="00E72906"/>
    <w:rsid w:val="00E732C3"/>
    <w:rsid w:val="00E732DA"/>
    <w:rsid w:val="00E73445"/>
    <w:rsid w:val="00E76359"/>
    <w:rsid w:val="00E769E5"/>
    <w:rsid w:val="00E82000"/>
    <w:rsid w:val="00E8331B"/>
    <w:rsid w:val="00E83C62"/>
    <w:rsid w:val="00E840ED"/>
    <w:rsid w:val="00E847E1"/>
    <w:rsid w:val="00E87CFB"/>
    <w:rsid w:val="00E917A4"/>
    <w:rsid w:val="00E94AEF"/>
    <w:rsid w:val="00E95017"/>
    <w:rsid w:val="00E95BA4"/>
    <w:rsid w:val="00E967E8"/>
    <w:rsid w:val="00EA1C30"/>
    <w:rsid w:val="00EA1EE1"/>
    <w:rsid w:val="00EA2718"/>
    <w:rsid w:val="00EA36FD"/>
    <w:rsid w:val="00EA4A98"/>
    <w:rsid w:val="00EA5BD2"/>
    <w:rsid w:val="00EA6D85"/>
    <w:rsid w:val="00EA70B1"/>
    <w:rsid w:val="00EA70CB"/>
    <w:rsid w:val="00EB0EE3"/>
    <w:rsid w:val="00EB2FEF"/>
    <w:rsid w:val="00EB360A"/>
    <w:rsid w:val="00EB3A72"/>
    <w:rsid w:val="00EB6ADC"/>
    <w:rsid w:val="00EC2C2D"/>
    <w:rsid w:val="00EC2D1D"/>
    <w:rsid w:val="00EC3D3B"/>
    <w:rsid w:val="00EC5DD4"/>
    <w:rsid w:val="00EC7BF1"/>
    <w:rsid w:val="00ED40D2"/>
    <w:rsid w:val="00ED61EE"/>
    <w:rsid w:val="00ED7249"/>
    <w:rsid w:val="00EE2FCB"/>
    <w:rsid w:val="00EF0FCB"/>
    <w:rsid w:val="00EF143C"/>
    <w:rsid w:val="00EF14C4"/>
    <w:rsid w:val="00EF2894"/>
    <w:rsid w:val="00EF4605"/>
    <w:rsid w:val="00EF5255"/>
    <w:rsid w:val="00EF6F88"/>
    <w:rsid w:val="00F0119D"/>
    <w:rsid w:val="00F06337"/>
    <w:rsid w:val="00F06410"/>
    <w:rsid w:val="00F06C51"/>
    <w:rsid w:val="00F10BFD"/>
    <w:rsid w:val="00F127EF"/>
    <w:rsid w:val="00F12943"/>
    <w:rsid w:val="00F12EA1"/>
    <w:rsid w:val="00F1692E"/>
    <w:rsid w:val="00F16D4A"/>
    <w:rsid w:val="00F17427"/>
    <w:rsid w:val="00F205CD"/>
    <w:rsid w:val="00F22467"/>
    <w:rsid w:val="00F260B7"/>
    <w:rsid w:val="00F271A2"/>
    <w:rsid w:val="00F300B0"/>
    <w:rsid w:val="00F3088C"/>
    <w:rsid w:val="00F30A2E"/>
    <w:rsid w:val="00F32C04"/>
    <w:rsid w:val="00F33444"/>
    <w:rsid w:val="00F33960"/>
    <w:rsid w:val="00F3437B"/>
    <w:rsid w:val="00F346F9"/>
    <w:rsid w:val="00F348CD"/>
    <w:rsid w:val="00F36980"/>
    <w:rsid w:val="00F37021"/>
    <w:rsid w:val="00F406C4"/>
    <w:rsid w:val="00F40DE7"/>
    <w:rsid w:val="00F42A44"/>
    <w:rsid w:val="00F43594"/>
    <w:rsid w:val="00F44031"/>
    <w:rsid w:val="00F454E1"/>
    <w:rsid w:val="00F539A2"/>
    <w:rsid w:val="00F53C07"/>
    <w:rsid w:val="00F57389"/>
    <w:rsid w:val="00F612C2"/>
    <w:rsid w:val="00F65124"/>
    <w:rsid w:val="00F70368"/>
    <w:rsid w:val="00F71683"/>
    <w:rsid w:val="00F716A8"/>
    <w:rsid w:val="00F71826"/>
    <w:rsid w:val="00F71D13"/>
    <w:rsid w:val="00F73849"/>
    <w:rsid w:val="00F86567"/>
    <w:rsid w:val="00F90D32"/>
    <w:rsid w:val="00F914E6"/>
    <w:rsid w:val="00F92ECE"/>
    <w:rsid w:val="00F9482F"/>
    <w:rsid w:val="00F964D3"/>
    <w:rsid w:val="00FA7B8E"/>
    <w:rsid w:val="00FB1E4C"/>
    <w:rsid w:val="00FB380B"/>
    <w:rsid w:val="00FB5D37"/>
    <w:rsid w:val="00FC1A10"/>
    <w:rsid w:val="00FC205B"/>
    <w:rsid w:val="00FC2B8B"/>
    <w:rsid w:val="00FC5675"/>
    <w:rsid w:val="00FC6678"/>
    <w:rsid w:val="00FD3DE0"/>
    <w:rsid w:val="00FD4C4E"/>
    <w:rsid w:val="00FD6DCF"/>
    <w:rsid w:val="00FD76EF"/>
    <w:rsid w:val="00FD7BED"/>
    <w:rsid w:val="00FE030E"/>
    <w:rsid w:val="00FE0841"/>
    <w:rsid w:val="00FE0A11"/>
    <w:rsid w:val="00FE17FD"/>
    <w:rsid w:val="00FE19E7"/>
    <w:rsid w:val="00FE599A"/>
    <w:rsid w:val="00FE7B55"/>
    <w:rsid w:val="00FF4442"/>
    <w:rsid w:val="00FF5A5A"/>
    <w:rsid w:val="013E434F"/>
    <w:rsid w:val="0155E9B6"/>
    <w:rsid w:val="0208ECD2"/>
    <w:rsid w:val="03271FE9"/>
    <w:rsid w:val="034F55D7"/>
    <w:rsid w:val="03F700F0"/>
    <w:rsid w:val="04D37CEE"/>
    <w:rsid w:val="052E2D54"/>
    <w:rsid w:val="05A388AE"/>
    <w:rsid w:val="05AEE848"/>
    <w:rsid w:val="05C1795E"/>
    <w:rsid w:val="05CE7B8E"/>
    <w:rsid w:val="05F2F5FE"/>
    <w:rsid w:val="065F4BB8"/>
    <w:rsid w:val="06799B07"/>
    <w:rsid w:val="06B6BABF"/>
    <w:rsid w:val="0721B038"/>
    <w:rsid w:val="07D683F9"/>
    <w:rsid w:val="07E5BB46"/>
    <w:rsid w:val="07F3B1C0"/>
    <w:rsid w:val="089CCE65"/>
    <w:rsid w:val="09EFB7A2"/>
    <w:rsid w:val="0B1454D0"/>
    <w:rsid w:val="0B8A3F99"/>
    <w:rsid w:val="0B925AFB"/>
    <w:rsid w:val="0C3F47CC"/>
    <w:rsid w:val="0D087DAB"/>
    <w:rsid w:val="0DE091F2"/>
    <w:rsid w:val="0E07DE36"/>
    <w:rsid w:val="0E260293"/>
    <w:rsid w:val="0E4D33B5"/>
    <w:rsid w:val="0E6A4D40"/>
    <w:rsid w:val="0E6E9F0D"/>
    <w:rsid w:val="0E81B2BC"/>
    <w:rsid w:val="0E8C4004"/>
    <w:rsid w:val="0EACD5B9"/>
    <w:rsid w:val="0F9312CC"/>
    <w:rsid w:val="0FA1DB86"/>
    <w:rsid w:val="106760DC"/>
    <w:rsid w:val="10C8913A"/>
    <w:rsid w:val="114DFE99"/>
    <w:rsid w:val="117E0185"/>
    <w:rsid w:val="11DB3863"/>
    <w:rsid w:val="120F8844"/>
    <w:rsid w:val="1382600F"/>
    <w:rsid w:val="139F17EC"/>
    <w:rsid w:val="13A638DE"/>
    <w:rsid w:val="13EBFE23"/>
    <w:rsid w:val="140A3EF0"/>
    <w:rsid w:val="141DB7AF"/>
    <w:rsid w:val="1531374C"/>
    <w:rsid w:val="15D85180"/>
    <w:rsid w:val="160D062E"/>
    <w:rsid w:val="1610AA65"/>
    <w:rsid w:val="16CB50AF"/>
    <w:rsid w:val="16FF6EDF"/>
    <w:rsid w:val="1752E587"/>
    <w:rsid w:val="175819FF"/>
    <w:rsid w:val="17C0FE37"/>
    <w:rsid w:val="17EFDC43"/>
    <w:rsid w:val="18864BFD"/>
    <w:rsid w:val="188A3D9E"/>
    <w:rsid w:val="18B62ED6"/>
    <w:rsid w:val="18BDAB91"/>
    <w:rsid w:val="196C212C"/>
    <w:rsid w:val="19897CF5"/>
    <w:rsid w:val="1A28BB19"/>
    <w:rsid w:val="1A8E5491"/>
    <w:rsid w:val="1AB6390D"/>
    <w:rsid w:val="1AE64DC8"/>
    <w:rsid w:val="1B10A54C"/>
    <w:rsid w:val="1B8AC45F"/>
    <w:rsid w:val="1BC155E2"/>
    <w:rsid w:val="1BD4419A"/>
    <w:rsid w:val="1C86478F"/>
    <w:rsid w:val="1D8EA8D6"/>
    <w:rsid w:val="1DD92EDD"/>
    <w:rsid w:val="1E0B27B4"/>
    <w:rsid w:val="1E78A3E4"/>
    <w:rsid w:val="1FA28785"/>
    <w:rsid w:val="1FCB0540"/>
    <w:rsid w:val="1FD1BE0E"/>
    <w:rsid w:val="205C8BFA"/>
    <w:rsid w:val="20A391DA"/>
    <w:rsid w:val="2133154B"/>
    <w:rsid w:val="213CBF0C"/>
    <w:rsid w:val="218A7838"/>
    <w:rsid w:val="2196402C"/>
    <w:rsid w:val="21964A83"/>
    <w:rsid w:val="21EC79F4"/>
    <w:rsid w:val="2302BB2A"/>
    <w:rsid w:val="234256C1"/>
    <w:rsid w:val="23AE8FDB"/>
    <w:rsid w:val="25A1E131"/>
    <w:rsid w:val="25BA8C4F"/>
    <w:rsid w:val="25C3D3BD"/>
    <w:rsid w:val="25C77ED7"/>
    <w:rsid w:val="25D5E126"/>
    <w:rsid w:val="25E879B5"/>
    <w:rsid w:val="26013A92"/>
    <w:rsid w:val="26D8F9FE"/>
    <w:rsid w:val="27485DB4"/>
    <w:rsid w:val="275C3AA9"/>
    <w:rsid w:val="280F3839"/>
    <w:rsid w:val="2823BA89"/>
    <w:rsid w:val="28C40B7F"/>
    <w:rsid w:val="28E5A522"/>
    <w:rsid w:val="2951569C"/>
    <w:rsid w:val="29A41367"/>
    <w:rsid w:val="29C4BB04"/>
    <w:rsid w:val="29D58F69"/>
    <w:rsid w:val="2AB6549B"/>
    <w:rsid w:val="2AC23629"/>
    <w:rsid w:val="2AC8FC3F"/>
    <w:rsid w:val="2ACD0B72"/>
    <w:rsid w:val="2B526E90"/>
    <w:rsid w:val="2B756478"/>
    <w:rsid w:val="2BC077C7"/>
    <w:rsid w:val="2BCF5C3B"/>
    <w:rsid w:val="2BD157C8"/>
    <w:rsid w:val="2C20F023"/>
    <w:rsid w:val="2C64AC2A"/>
    <w:rsid w:val="2CC20839"/>
    <w:rsid w:val="2D5FA62E"/>
    <w:rsid w:val="2DA38617"/>
    <w:rsid w:val="2E080D76"/>
    <w:rsid w:val="2E302926"/>
    <w:rsid w:val="2E5E3928"/>
    <w:rsid w:val="2E70FD7C"/>
    <w:rsid w:val="2E8CCCC2"/>
    <w:rsid w:val="2EAE6971"/>
    <w:rsid w:val="2EDC6758"/>
    <w:rsid w:val="2F9201BC"/>
    <w:rsid w:val="308CE62E"/>
    <w:rsid w:val="30A0C5C1"/>
    <w:rsid w:val="30CFD852"/>
    <w:rsid w:val="3231C0BD"/>
    <w:rsid w:val="323400DA"/>
    <w:rsid w:val="33DB78A3"/>
    <w:rsid w:val="34D9E11E"/>
    <w:rsid w:val="34FEDFA7"/>
    <w:rsid w:val="3531D1C8"/>
    <w:rsid w:val="35AFF58E"/>
    <w:rsid w:val="368BA70F"/>
    <w:rsid w:val="369F593A"/>
    <w:rsid w:val="36D9A751"/>
    <w:rsid w:val="371856E5"/>
    <w:rsid w:val="374C9155"/>
    <w:rsid w:val="374D3F58"/>
    <w:rsid w:val="375BD748"/>
    <w:rsid w:val="37E31951"/>
    <w:rsid w:val="383814D8"/>
    <w:rsid w:val="384BCCFA"/>
    <w:rsid w:val="388E1B3C"/>
    <w:rsid w:val="38B4911A"/>
    <w:rsid w:val="3960AADD"/>
    <w:rsid w:val="39D9ACA9"/>
    <w:rsid w:val="3B008945"/>
    <w:rsid w:val="3B34FBD7"/>
    <w:rsid w:val="3BA2837A"/>
    <w:rsid w:val="3C1617C9"/>
    <w:rsid w:val="3C53924A"/>
    <w:rsid w:val="3CB12B5E"/>
    <w:rsid w:val="3D067019"/>
    <w:rsid w:val="3D696F1F"/>
    <w:rsid w:val="3DED3B86"/>
    <w:rsid w:val="3E0644CB"/>
    <w:rsid w:val="3E2858ED"/>
    <w:rsid w:val="3E5BF640"/>
    <w:rsid w:val="3E653D50"/>
    <w:rsid w:val="3F5437B4"/>
    <w:rsid w:val="3F923CFA"/>
    <w:rsid w:val="407A0B23"/>
    <w:rsid w:val="40903C25"/>
    <w:rsid w:val="40A98EF3"/>
    <w:rsid w:val="40C884A9"/>
    <w:rsid w:val="41641B85"/>
    <w:rsid w:val="419BFFD2"/>
    <w:rsid w:val="41D7D9E1"/>
    <w:rsid w:val="41F6EDD2"/>
    <w:rsid w:val="41FB7CAF"/>
    <w:rsid w:val="421A8506"/>
    <w:rsid w:val="4267A725"/>
    <w:rsid w:val="427D81B8"/>
    <w:rsid w:val="42B2CED0"/>
    <w:rsid w:val="43EB4132"/>
    <w:rsid w:val="4474A72D"/>
    <w:rsid w:val="44AB56BC"/>
    <w:rsid w:val="44C0C1ED"/>
    <w:rsid w:val="453F7431"/>
    <w:rsid w:val="45BF9C61"/>
    <w:rsid w:val="4698538F"/>
    <w:rsid w:val="46FDA6FC"/>
    <w:rsid w:val="4706AC2B"/>
    <w:rsid w:val="471F996E"/>
    <w:rsid w:val="4721CA0A"/>
    <w:rsid w:val="47E32624"/>
    <w:rsid w:val="48B9734A"/>
    <w:rsid w:val="48CA03CE"/>
    <w:rsid w:val="48FC8132"/>
    <w:rsid w:val="494A5681"/>
    <w:rsid w:val="4959E5F3"/>
    <w:rsid w:val="4A994139"/>
    <w:rsid w:val="4AF9CD4E"/>
    <w:rsid w:val="4BE621DD"/>
    <w:rsid w:val="4BF083F7"/>
    <w:rsid w:val="4C6D55E2"/>
    <w:rsid w:val="4CBEDA62"/>
    <w:rsid w:val="4CC873CE"/>
    <w:rsid w:val="4CCE9515"/>
    <w:rsid w:val="4D6BCF47"/>
    <w:rsid w:val="4D8B2DB4"/>
    <w:rsid w:val="4DD2CB84"/>
    <w:rsid w:val="4EF08E9B"/>
    <w:rsid w:val="4F96E89A"/>
    <w:rsid w:val="4FC13FDD"/>
    <w:rsid w:val="4FE1A90F"/>
    <w:rsid w:val="50267628"/>
    <w:rsid w:val="50F06A75"/>
    <w:rsid w:val="50F50845"/>
    <w:rsid w:val="511E37BC"/>
    <w:rsid w:val="51635FE7"/>
    <w:rsid w:val="51BE8146"/>
    <w:rsid w:val="524237A3"/>
    <w:rsid w:val="5305EDC2"/>
    <w:rsid w:val="533E60E3"/>
    <w:rsid w:val="5372F664"/>
    <w:rsid w:val="53B6BCCB"/>
    <w:rsid w:val="53BD2348"/>
    <w:rsid w:val="5437CEDB"/>
    <w:rsid w:val="546A92CD"/>
    <w:rsid w:val="54830A3B"/>
    <w:rsid w:val="5512866C"/>
    <w:rsid w:val="553ADF02"/>
    <w:rsid w:val="556293F9"/>
    <w:rsid w:val="560C8024"/>
    <w:rsid w:val="5660478C"/>
    <w:rsid w:val="57A95AD0"/>
    <w:rsid w:val="584F3508"/>
    <w:rsid w:val="5877A451"/>
    <w:rsid w:val="587EFB83"/>
    <w:rsid w:val="5893A3D3"/>
    <w:rsid w:val="5898401E"/>
    <w:rsid w:val="59600E17"/>
    <w:rsid w:val="5AE49410"/>
    <w:rsid w:val="5B31A40B"/>
    <w:rsid w:val="5B686FB7"/>
    <w:rsid w:val="5B878019"/>
    <w:rsid w:val="5BDF1741"/>
    <w:rsid w:val="5C03C7FF"/>
    <w:rsid w:val="5C4B2D8A"/>
    <w:rsid w:val="5CA98C24"/>
    <w:rsid w:val="5DA20C3B"/>
    <w:rsid w:val="5DA99854"/>
    <w:rsid w:val="5E5C0721"/>
    <w:rsid w:val="5E6C4A26"/>
    <w:rsid w:val="5EDF671A"/>
    <w:rsid w:val="5EE6F2CC"/>
    <w:rsid w:val="5F770E7E"/>
    <w:rsid w:val="60B1A257"/>
    <w:rsid w:val="6118AEBD"/>
    <w:rsid w:val="61B2D938"/>
    <w:rsid w:val="61E92C20"/>
    <w:rsid w:val="6267F58B"/>
    <w:rsid w:val="62E3EEBA"/>
    <w:rsid w:val="62E7F9E2"/>
    <w:rsid w:val="6374A43B"/>
    <w:rsid w:val="63A37946"/>
    <w:rsid w:val="63EBA826"/>
    <w:rsid w:val="641F4625"/>
    <w:rsid w:val="64409383"/>
    <w:rsid w:val="64CA33FE"/>
    <w:rsid w:val="65277DF5"/>
    <w:rsid w:val="65281A6B"/>
    <w:rsid w:val="658A22D3"/>
    <w:rsid w:val="663B0077"/>
    <w:rsid w:val="664F2F4C"/>
    <w:rsid w:val="67C97B65"/>
    <w:rsid w:val="6812AA61"/>
    <w:rsid w:val="69B2EB11"/>
    <w:rsid w:val="6A4B926E"/>
    <w:rsid w:val="6A997622"/>
    <w:rsid w:val="6BC0EBE4"/>
    <w:rsid w:val="6C5BD9A0"/>
    <w:rsid w:val="6D196512"/>
    <w:rsid w:val="6E0BBC7E"/>
    <w:rsid w:val="6E10AC89"/>
    <w:rsid w:val="6E20E427"/>
    <w:rsid w:val="6F034AF5"/>
    <w:rsid w:val="6FC62043"/>
    <w:rsid w:val="701566DB"/>
    <w:rsid w:val="702DBED5"/>
    <w:rsid w:val="70C8D37E"/>
    <w:rsid w:val="70E4260C"/>
    <w:rsid w:val="71226C1C"/>
    <w:rsid w:val="7190D17A"/>
    <w:rsid w:val="737CE7B6"/>
    <w:rsid w:val="7433E11C"/>
    <w:rsid w:val="743685F2"/>
    <w:rsid w:val="743FD1B5"/>
    <w:rsid w:val="74C5CC49"/>
    <w:rsid w:val="75327164"/>
    <w:rsid w:val="75994A67"/>
    <w:rsid w:val="765EEE80"/>
    <w:rsid w:val="76B730A9"/>
    <w:rsid w:val="76C869F3"/>
    <w:rsid w:val="7703F7D9"/>
    <w:rsid w:val="781DD079"/>
    <w:rsid w:val="7832F1F8"/>
    <w:rsid w:val="783DD4FE"/>
    <w:rsid w:val="7871484E"/>
    <w:rsid w:val="7979FBE2"/>
    <w:rsid w:val="79BE70E0"/>
    <w:rsid w:val="7AE35F41"/>
    <w:rsid w:val="7BD38B70"/>
    <w:rsid w:val="7C2D43F7"/>
    <w:rsid w:val="7C85CF75"/>
    <w:rsid w:val="7D47A171"/>
    <w:rsid w:val="7EACD844"/>
    <w:rsid w:val="7F2C8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34EEC3"/>
  <w15:docId w15:val="{F13D0D27-7654-4DE5-9AA4-F94CEA46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204C"/>
        <w:lang w:val="fr-FR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60" w:lineRule="atLeast"/>
    </w:pPr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line="276" w:lineRule="auto"/>
      <w:ind w:left="708"/>
      <w:outlineLvl w:val="0"/>
    </w:pPr>
    <w:rPr>
      <w:rFonts w:eastAsia="MS Gothic"/>
      <w:b/>
      <w:bCs/>
      <w:color w:val="17153B"/>
      <w:sz w:val="28"/>
      <w:szCs w:val="28"/>
      <w:lang w:val="en-U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ind w:left="708"/>
      <w:outlineLvl w:val="1"/>
    </w:pPr>
    <w:rPr>
      <w:rFonts w:eastAsia="MS Gothic"/>
      <w:b/>
      <w:bCs/>
      <w:color w:val="201C50"/>
      <w:sz w:val="26"/>
      <w:szCs w:val="26"/>
      <w:lang w:val="en-U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ind w:left="708"/>
      <w:outlineLvl w:val="2"/>
    </w:pPr>
    <w:rPr>
      <w:rFonts w:eastAsia="MS Gothic"/>
      <w:b/>
      <w:bCs/>
      <w:color w:val="201C50"/>
      <w:szCs w:val="22"/>
      <w:lang w:val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spacing w:line="240" w:lineRule="auto"/>
    </w:pPr>
    <w:rPr>
      <w:rFonts w:ascii="Century Gothic" w:hAnsi="Century Gothic"/>
      <w:color w:val="auto"/>
      <w:sz w:val="28"/>
    </w:rPr>
  </w:style>
  <w:style w:type="paragraph" w:styleId="Piedepgina">
    <w:name w:val="footer"/>
    <w:basedOn w:val="Normal"/>
    <w:pPr>
      <w:tabs>
        <w:tab w:val="center" w:pos="4536"/>
        <w:tab w:val="right" w:pos="9072"/>
      </w:tabs>
      <w:spacing w:line="240" w:lineRule="auto"/>
    </w:pPr>
  </w:style>
  <w:style w:type="paragraph" w:customStyle="1" w:styleId="EdenredDate">
    <w:name w:val="Edenred Date"/>
    <w:basedOn w:val="Encabezado"/>
    <w:pPr>
      <w:jc w:val="right"/>
    </w:pPr>
    <w:rPr>
      <w:sz w:val="20"/>
    </w:rPr>
  </w:style>
  <w:style w:type="paragraph" w:customStyle="1" w:styleId="EdenredTitle">
    <w:name w:val="Edenred Title"/>
    <w:basedOn w:val="Text"/>
    <w:rPr>
      <w:color w:val="162056"/>
      <w:sz w:val="40"/>
      <w:szCs w:val="40"/>
    </w:rPr>
  </w:style>
  <w:style w:type="paragraph" w:customStyle="1" w:styleId="Edenredsubtitle">
    <w:name w:val="Edenred subtitle"/>
    <w:basedOn w:val="Normal"/>
    <w:pPr>
      <w:spacing w:line="254" w:lineRule="auto"/>
      <w:jc w:val="both"/>
    </w:pPr>
    <w:rPr>
      <w:rFonts w:ascii="Century Gothic" w:hAnsi="Century Gothic"/>
      <w:color w:val="003591"/>
      <w:sz w:val="30"/>
      <w:szCs w:val="30"/>
      <w:lang w:val="en-US"/>
    </w:rPr>
  </w:style>
  <w:style w:type="paragraph" w:customStyle="1" w:styleId="Text">
    <w:name w:val="Text"/>
    <w:basedOn w:val="Normal"/>
    <w:pPr>
      <w:spacing w:line="254" w:lineRule="auto"/>
      <w:jc w:val="both"/>
    </w:pPr>
    <w:rPr>
      <w:rFonts w:ascii="Century Gothic" w:hAnsi="Century Gothic"/>
      <w:color w:val="auto"/>
      <w:lang w:val="en-US"/>
    </w:rPr>
  </w:style>
  <w:style w:type="character" w:customStyle="1" w:styleId="PiedepginaCar">
    <w:name w:val="Pie de página Car"/>
    <w:basedOn w:val="Fuentedeprrafopredeter"/>
    <w:rPr>
      <w:rFonts w:ascii="Arial" w:hAnsi="Arial"/>
      <w:color w:val="11204C"/>
      <w:lang w:eastAsia="en-US"/>
    </w:rPr>
  </w:style>
  <w:style w:type="paragraph" w:styleId="Textodeglobo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color w:val="11204C"/>
      <w:sz w:val="16"/>
      <w:szCs w:val="16"/>
      <w:lang w:eastAsia="en-US"/>
    </w:rPr>
  </w:style>
  <w:style w:type="paragraph" w:customStyle="1" w:styleId="Page">
    <w:name w:val="Page"/>
    <w:basedOn w:val="Normal"/>
    <w:pPr>
      <w:jc w:val="right"/>
    </w:pPr>
    <w:rPr>
      <w:sz w:val="16"/>
    </w:rPr>
  </w:style>
  <w:style w:type="character" w:customStyle="1" w:styleId="TextCar">
    <w:name w:val="Text Car"/>
    <w:rPr>
      <w:rFonts w:ascii="Century Gothic" w:hAnsi="Century Gothic" w:cs="Arial"/>
      <w:lang w:val="en-US" w:eastAsia="en-US"/>
    </w:rPr>
  </w:style>
  <w:style w:type="paragraph" w:styleId="Textonotapie">
    <w:name w:val="footnote text"/>
    <w:basedOn w:val="Normal"/>
    <w:pPr>
      <w:spacing w:line="240" w:lineRule="auto"/>
    </w:pPr>
    <w:rPr>
      <w:rFonts w:ascii="Century Gothic" w:hAnsi="Century Gothic"/>
      <w:color w:val="auto"/>
      <w:sz w:val="14"/>
    </w:rPr>
  </w:style>
  <w:style w:type="character" w:customStyle="1" w:styleId="TextonotapieCar">
    <w:name w:val="Texto nota pie Car"/>
    <w:rPr>
      <w:rFonts w:ascii="Century Gothic" w:hAnsi="Century Gothic"/>
      <w:sz w:val="14"/>
      <w:lang w:eastAsia="en-US"/>
    </w:rPr>
  </w:style>
  <w:style w:type="character" w:styleId="Refdenotaalpie">
    <w:name w:val="footnote reference"/>
    <w:rPr>
      <w:position w:val="0"/>
      <w:vertAlign w:val="superscript"/>
    </w:rPr>
  </w:style>
  <w:style w:type="character" w:customStyle="1" w:styleId="Ttulo1Car">
    <w:name w:val="Título 1 Car"/>
    <w:rPr>
      <w:rFonts w:ascii="Arial" w:eastAsia="MS Gothic" w:hAnsi="Arial"/>
      <w:b/>
      <w:bCs/>
      <w:color w:val="17153B"/>
      <w:sz w:val="28"/>
      <w:szCs w:val="28"/>
      <w:lang w:val="en-US" w:eastAsia="en-US"/>
    </w:rPr>
  </w:style>
  <w:style w:type="character" w:customStyle="1" w:styleId="Ttulo2Car">
    <w:name w:val="Título 2 Car"/>
    <w:rPr>
      <w:rFonts w:ascii="Arial" w:eastAsia="MS Gothic" w:hAnsi="Arial"/>
      <w:b/>
      <w:bCs/>
      <w:color w:val="201C50"/>
      <w:sz w:val="26"/>
      <w:szCs w:val="26"/>
      <w:lang w:val="en-US" w:eastAsia="en-US"/>
    </w:rPr>
  </w:style>
  <w:style w:type="character" w:customStyle="1" w:styleId="Ttulo3Car">
    <w:name w:val="Título 3 Car"/>
    <w:rPr>
      <w:rFonts w:ascii="Arial" w:eastAsia="MS Gothic" w:hAnsi="Arial"/>
      <w:b/>
      <w:bCs/>
      <w:color w:val="201C50"/>
      <w:szCs w:val="22"/>
      <w:lang w:val="en-US" w:eastAsia="en-US"/>
    </w:rPr>
  </w:style>
  <w:style w:type="paragraph" w:customStyle="1" w:styleId="Title1">
    <w:name w:val="Title 1"/>
    <w:basedOn w:val="Normal"/>
    <w:pPr>
      <w:spacing w:line="254" w:lineRule="auto"/>
      <w:jc w:val="both"/>
    </w:pPr>
    <w:rPr>
      <w:rFonts w:ascii="Century Gothic" w:hAnsi="Century Gothic"/>
      <w:b/>
      <w:color w:val="003591"/>
      <w:sz w:val="28"/>
      <w:szCs w:val="28"/>
      <w:lang w:val="en-US" w:eastAsia="fr-FR"/>
    </w:rPr>
  </w:style>
  <w:style w:type="character" w:customStyle="1" w:styleId="Title1Car">
    <w:name w:val="Title 1 Car"/>
    <w:rPr>
      <w:rFonts w:ascii="Century Gothic" w:hAnsi="Century Gothic" w:cs="Arial"/>
      <w:b/>
      <w:color w:val="003591"/>
      <w:sz w:val="28"/>
      <w:szCs w:val="28"/>
      <w:lang w:val="en-US"/>
    </w:rPr>
  </w:style>
  <w:style w:type="paragraph" w:customStyle="1" w:styleId="Title2">
    <w:name w:val="Title 2"/>
    <w:basedOn w:val="Normal"/>
    <w:next w:val="Normal"/>
    <w:pPr>
      <w:spacing w:line="276" w:lineRule="auto"/>
      <w:jc w:val="both"/>
    </w:pPr>
    <w:rPr>
      <w:rFonts w:ascii="Century Gothic" w:hAnsi="Century Gothic"/>
      <w:b/>
      <w:color w:val="003591"/>
      <w:sz w:val="24"/>
      <w:szCs w:val="24"/>
      <w:lang w:val="en-US"/>
    </w:rPr>
  </w:style>
  <w:style w:type="character" w:customStyle="1" w:styleId="Title2Car">
    <w:name w:val="Title 2 Car"/>
    <w:rPr>
      <w:rFonts w:ascii="Century Gothic" w:hAnsi="Century Gothic" w:cs="Arial"/>
      <w:b/>
      <w:color w:val="003591"/>
      <w:sz w:val="24"/>
      <w:szCs w:val="24"/>
      <w:lang w:val="en-US" w:eastAsia="en-US"/>
    </w:rPr>
  </w:style>
  <w:style w:type="paragraph" w:customStyle="1" w:styleId="BulletLead-in1">
    <w:name w:val="Bullet Lead-in 1"/>
    <w:basedOn w:val="Normal"/>
    <w:pPr>
      <w:spacing w:line="254" w:lineRule="auto"/>
      <w:contextualSpacing/>
      <w:jc w:val="both"/>
    </w:pPr>
    <w:rPr>
      <w:rFonts w:ascii="Century Gothic" w:hAnsi="Century Gothic"/>
      <w:b/>
      <w:color w:val="auto"/>
      <w:lang w:val="en-US"/>
    </w:rPr>
  </w:style>
  <w:style w:type="character" w:customStyle="1" w:styleId="BulletLead-in1Car">
    <w:name w:val="Bullet Lead-in 1 Car"/>
    <w:rPr>
      <w:rFonts w:ascii="Century Gothic" w:hAnsi="Century Gothic" w:cs="Arial"/>
      <w:b/>
      <w:lang w:val="en-US" w:eastAsia="en-US"/>
    </w:rPr>
  </w:style>
  <w:style w:type="paragraph" w:customStyle="1" w:styleId="BulletLead-in2">
    <w:name w:val="Bullet Lead-in 2"/>
    <w:basedOn w:val="Normal"/>
    <w:pPr>
      <w:numPr>
        <w:numId w:val="1"/>
      </w:numPr>
    </w:pPr>
    <w:rPr>
      <w:rFonts w:ascii="Century Gothic" w:hAnsi="Century Gothic"/>
      <w:color w:val="auto"/>
    </w:rPr>
  </w:style>
  <w:style w:type="character" w:customStyle="1" w:styleId="BulletLead-in2Car">
    <w:name w:val="Bullet Lead-in 2 Car"/>
    <w:rPr>
      <w:rFonts w:ascii="Century Gothic" w:hAnsi="Century Gothic"/>
      <w:lang w:eastAsia="en-US"/>
    </w:rPr>
  </w:style>
  <w:style w:type="paragraph" w:styleId="TtuloTDC">
    <w:name w:val="TOC Heading"/>
    <w:basedOn w:val="Ttulo1"/>
    <w:next w:val="Normal"/>
    <w:rPr>
      <w:lang w:eastAsia="fr-FR"/>
    </w:rPr>
  </w:style>
  <w:style w:type="paragraph" w:styleId="Textoindependiente">
    <w:name w:val="Body Text"/>
    <w:basedOn w:val="Normal"/>
    <w:pPr>
      <w:spacing w:after="120" w:line="276" w:lineRule="auto"/>
      <w:ind w:left="708"/>
    </w:pPr>
    <w:rPr>
      <w:color w:val="002060"/>
      <w:szCs w:val="22"/>
      <w:lang w:val="en-US"/>
    </w:rPr>
  </w:style>
  <w:style w:type="character" w:customStyle="1" w:styleId="TextoindependienteCar">
    <w:name w:val="Texto independiente Car"/>
    <w:rPr>
      <w:rFonts w:ascii="Arial" w:eastAsia="Arial" w:hAnsi="Arial"/>
      <w:color w:val="002060"/>
      <w:szCs w:val="22"/>
      <w:lang w:val="en-US" w:eastAsia="en-US"/>
    </w:rPr>
  </w:style>
  <w:style w:type="character" w:customStyle="1" w:styleId="EncabezadoCar">
    <w:name w:val="Encabezado Car"/>
    <w:rPr>
      <w:rFonts w:ascii="Century Gothic" w:hAnsi="Century Gothic"/>
      <w:sz w:val="28"/>
      <w:lang w:eastAsia="en-US"/>
    </w:rPr>
  </w:style>
  <w:style w:type="character" w:styleId="Hipervnculo">
    <w:name w:val="Hyperlink"/>
    <w:rPr>
      <w:color w:val="55517B"/>
    </w:rPr>
  </w:style>
  <w:style w:type="paragraph" w:styleId="Textonotaalfinal">
    <w:name w:val="endnote text"/>
    <w:basedOn w:val="Normal"/>
    <w:pPr>
      <w:spacing w:line="240" w:lineRule="auto"/>
      <w:ind w:left="708"/>
    </w:pPr>
    <w:rPr>
      <w:color w:val="002060"/>
      <w:lang w:val="en-US"/>
    </w:rPr>
  </w:style>
  <w:style w:type="character" w:customStyle="1" w:styleId="TextonotaalfinalCar">
    <w:name w:val="Texto nota al final Car"/>
    <w:rPr>
      <w:rFonts w:ascii="Arial" w:eastAsia="Arial" w:hAnsi="Arial"/>
      <w:color w:val="002060"/>
      <w:lang w:val="en-US" w:eastAsia="en-US"/>
    </w:rPr>
  </w:style>
  <w:style w:type="character" w:styleId="Refdenotaalfinal">
    <w:name w:val="endnote reference"/>
    <w:rPr>
      <w:position w:val="0"/>
      <w:vertAlign w:val="superscript"/>
    </w:rPr>
  </w:style>
  <w:style w:type="character" w:styleId="Refdecomentario">
    <w:name w:val="annotation reference"/>
    <w:rPr>
      <w:sz w:val="16"/>
      <w:szCs w:val="16"/>
    </w:rPr>
  </w:style>
  <w:style w:type="paragraph" w:styleId="Textocomentario">
    <w:name w:val="annotation text"/>
    <w:basedOn w:val="Normal"/>
    <w:pPr>
      <w:spacing w:after="200" w:line="240" w:lineRule="auto"/>
      <w:ind w:left="708"/>
    </w:pPr>
    <w:rPr>
      <w:color w:val="002060"/>
      <w:lang w:val="en-US"/>
    </w:rPr>
  </w:style>
  <w:style w:type="character" w:customStyle="1" w:styleId="TextocomentarioCar">
    <w:name w:val="Texto comentario Car"/>
    <w:rPr>
      <w:rFonts w:ascii="Arial" w:eastAsia="Arial" w:hAnsi="Arial"/>
      <w:color w:val="002060"/>
      <w:lang w:val="en-US" w:eastAsia="en-U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rPr>
      <w:rFonts w:ascii="Arial" w:eastAsia="Arial" w:hAnsi="Arial"/>
      <w:b/>
      <w:bCs/>
      <w:color w:val="002060"/>
      <w:lang w:val="en-US" w:eastAsia="en-US"/>
    </w:rPr>
  </w:style>
  <w:style w:type="paragraph" w:styleId="Revisin">
    <w:name w:val="Revision"/>
    <w:pPr>
      <w:suppressAutoHyphens/>
    </w:pPr>
    <w:rPr>
      <w:color w:val="002060"/>
      <w:szCs w:val="22"/>
      <w:lang w:val="en-US" w:eastAsia="en-US"/>
    </w:rPr>
  </w:style>
  <w:style w:type="character" w:styleId="Hipervnculovisitado">
    <w:name w:val="FollowedHyperlink"/>
    <w:rPr>
      <w:color w:val="0F004E"/>
      <w:u w:val="single"/>
    </w:rPr>
  </w:style>
  <w:style w:type="paragraph" w:customStyle="1" w:styleId="Tablecaptiontext">
    <w:name w:val="Table caption text"/>
    <w:basedOn w:val="Normal"/>
    <w:pPr>
      <w:spacing w:line="260" w:lineRule="exact"/>
      <w:ind w:right="113"/>
    </w:pPr>
    <w:rPr>
      <w:rFonts w:ascii="Century Gothic" w:hAnsi="Century Gothic"/>
      <w:color w:val="auto"/>
      <w:sz w:val="16"/>
      <w:lang w:val="en-GB" w:eastAsia="fr-FR"/>
    </w:rPr>
  </w:style>
  <w:style w:type="paragraph" w:customStyle="1" w:styleId="Tablecolumntitle">
    <w:name w:val="Table column title"/>
    <w:basedOn w:val="Normal"/>
    <w:pPr>
      <w:spacing w:line="260" w:lineRule="exact"/>
      <w:ind w:left="113" w:right="113"/>
      <w:jc w:val="right"/>
    </w:pPr>
    <w:rPr>
      <w:rFonts w:ascii="Century Gothic" w:hAnsi="Century Gothic"/>
      <w:color w:val="auto"/>
      <w:sz w:val="16"/>
      <w:lang w:val="en-GB" w:eastAsia="fr-FR"/>
    </w:rPr>
  </w:style>
  <w:style w:type="character" w:customStyle="1" w:styleId="BoilerPlateChar">
    <w:name w:val="Boiler Plate Char"/>
    <w:rPr>
      <w:rFonts w:ascii="Century Gothic" w:eastAsia="Calibri" w:hAnsi="Century Gothic" w:cs="Calibri"/>
      <w:sz w:val="16"/>
      <w:szCs w:val="14"/>
      <w:lang w:val="en-US" w:eastAsia="en-US"/>
    </w:rPr>
  </w:style>
  <w:style w:type="paragraph" w:customStyle="1" w:styleId="BoilerPlate">
    <w:name w:val="Boiler Plate"/>
    <w:basedOn w:val="Normal"/>
    <w:pPr>
      <w:spacing w:line="254" w:lineRule="auto"/>
      <w:jc w:val="both"/>
    </w:pPr>
    <w:rPr>
      <w:rFonts w:ascii="Century Gothic" w:eastAsia="Calibri" w:hAnsi="Century Gothic" w:cs="Calibri"/>
      <w:color w:val="auto"/>
      <w:sz w:val="16"/>
      <w:szCs w:val="14"/>
      <w:lang w:val="en-US"/>
    </w:rPr>
  </w:style>
  <w:style w:type="paragraph" w:customStyle="1" w:styleId="Pagefooter">
    <w:name w:val="Page footer"/>
    <w:basedOn w:val="Normal"/>
    <w:pPr>
      <w:spacing w:line="200" w:lineRule="exact"/>
      <w:ind w:right="-199"/>
      <w:jc w:val="right"/>
    </w:pPr>
    <w:rPr>
      <w:color w:val="D52B1E"/>
      <w:sz w:val="12"/>
      <w:lang w:eastAsia="fr-FR"/>
    </w:rPr>
  </w:style>
  <w:style w:type="paragraph" w:customStyle="1" w:styleId="Title3">
    <w:name w:val="Title 3"/>
    <w:basedOn w:val="Normal"/>
    <w:pPr>
      <w:spacing w:line="254" w:lineRule="auto"/>
    </w:pPr>
    <w:rPr>
      <w:rFonts w:ascii="Century Gothic" w:hAnsi="Century Gothic"/>
      <w:b/>
      <w:color w:val="003591"/>
      <w:lang w:val="en-US"/>
    </w:rPr>
  </w:style>
  <w:style w:type="character" w:customStyle="1" w:styleId="Title3Car">
    <w:name w:val="Title 3 Car"/>
    <w:basedOn w:val="Fuentedeprrafopredeter"/>
    <w:rPr>
      <w:rFonts w:ascii="Century Gothic" w:hAnsi="Century Gothic" w:cs="Arial"/>
      <w:b/>
      <w:color w:val="003591"/>
      <w:lang w:val="en-US" w:eastAsia="en-US"/>
    </w:rPr>
  </w:style>
  <w:style w:type="paragraph" w:customStyle="1" w:styleId="Lead-in">
    <w:name w:val="Lead-in"/>
    <w:basedOn w:val="Text"/>
  </w:style>
  <w:style w:type="character" w:customStyle="1" w:styleId="Lead-inCar">
    <w:name w:val="Lead-in Car"/>
    <w:basedOn w:val="TextCar"/>
    <w:rPr>
      <w:rFonts w:ascii="Century Gothic" w:hAnsi="Century Gothic" w:cs="Arial"/>
      <w:lang w:val="en-US" w:eastAsia="en-US"/>
    </w:rPr>
  </w:style>
  <w:style w:type="paragraph" w:customStyle="1" w:styleId="BoxBullet1">
    <w:name w:val="Box Bullet 1"/>
    <w:pPr>
      <w:numPr>
        <w:numId w:val="2"/>
      </w:numPr>
      <w:suppressAutoHyphens/>
    </w:pPr>
    <w:rPr>
      <w:rFonts w:ascii="Century Gothic" w:hAnsi="Century Gothic"/>
      <w:b/>
      <w:color w:val="003591"/>
      <w:lang w:val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BoxBullet2">
    <w:name w:val="Box Bullet 2"/>
    <w:pPr>
      <w:tabs>
        <w:tab w:val="num" w:pos="720"/>
      </w:tabs>
      <w:suppressAutoHyphens/>
      <w:ind w:left="720" w:hanging="720"/>
    </w:pPr>
    <w:rPr>
      <w:rFonts w:ascii="Century Gothic" w:hAnsi="Century Gothic"/>
      <w:lang w:eastAsia="en-US"/>
    </w:rPr>
  </w:style>
  <w:style w:type="character" w:customStyle="1" w:styleId="PrrafodelistaCar">
    <w:name w:val="Párrafo de lista Car"/>
    <w:rPr>
      <w:rFonts w:ascii="Arial" w:hAnsi="Arial"/>
      <w:color w:val="11204C"/>
      <w:lang w:eastAsia="en-US"/>
    </w:rPr>
  </w:style>
  <w:style w:type="paragraph" w:styleId="NormalWeb">
    <w:name w:val="Normal (Web)"/>
    <w:basedOn w:val="Normal"/>
    <w:uiPriority w:val="99"/>
    <w:pPr>
      <w:spacing w:line="240" w:lineRule="auto"/>
    </w:pPr>
    <w:rPr>
      <w:rFonts w:ascii="Calibri" w:eastAsia="Century Gothic" w:hAnsi="Calibri" w:cs="Calibri"/>
      <w:color w:val="auto"/>
      <w:sz w:val="22"/>
      <w:szCs w:val="22"/>
      <w:lang w:val="en-US" w:eastAsia="fr-FR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hAnsi="Times New Roman"/>
      <w:color w:val="auto"/>
      <w:sz w:val="24"/>
      <w:szCs w:val="24"/>
      <w:lang w:eastAsia="fr-F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numbering" w:customStyle="1" w:styleId="LFO10">
    <w:name w:val="LFO10"/>
    <w:basedOn w:val="Sinlista"/>
  </w:style>
  <w:style w:type="numbering" w:customStyle="1" w:styleId="LFO19">
    <w:name w:val="LFO19"/>
    <w:basedOn w:val="Sinlista"/>
  </w:style>
  <w:style w:type="numbering" w:customStyle="1" w:styleId="LFO20">
    <w:name w:val="LFO20"/>
    <w:basedOn w:val="Sinlista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Ind w:w="0" w:type="nil"/>
      <w:tblCellMar>
        <w:left w:w="10" w:type="dxa"/>
        <w:right w:w="10" w:type="dxa"/>
      </w:tblCellMar>
    </w:tblPr>
  </w:style>
  <w:style w:type="table" w:customStyle="1" w:styleId="TableNormal1">
    <w:name w:val="Table Normal1"/>
    <w:rsid w:val="007A462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uerte">
    <w:name w:val="Strong"/>
    <w:basedOn w:val="Fuentedeprrafopredeter"/>
    <w:uiPriority w:val="22"/>
    <w:qFormat/>
    <w:rsid w:val="00352B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rldefense.com/v3/__https:/forbes.es/ultima-hora/1038222/uno-de-cada-cuatro-espanoles-destina-ya-mas-del-30-de-sus-ingresos-a-la-alimentacion/__;!!EyGG_rL3!DGn63dyh8dqlB96WhpI3RvmfY_h76bsKQEcj2rrLPFWhWr0QywxqcVfn3pk2b91C_5BT3zdA_W09PjPdcZULiS20OBn87MPF$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rldefense.com/v3/__https:/www.europapress.es/economia/noticia-cada-cuatro-espanoles-destina-ya-mas-30-ingresos-alimentacion-20261006123929.html__;!!EyGG_rL3!DGn63dyh8dqlB96WhpI3RvmfY_h76bsKQEcj2rrLPFWhWr0QywxqcVfn3pk2b91C_5BT3zdA_W09PjPdcZULiS20OBB74OlK$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quipo.edenred@newlink-group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alejandro.delgadosanchez@edenred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urldefense.com/v3/__https:/sivarious.com/gestion/el-ticket-restaurant-se-reivindica-como-motor-en-la-restauracion-20261007-0400/__;!!EyGG_rL3!DGn63dyh8dqlB96WhpI3RvmfY_h76bsKQEcj2rrLPFWhWr0QywxqcVfn3pk2b91C_5BT3zdA_W09PjPdcZULiS20OIl37lS5$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A4bHXuFG8ZK1f8jUvsxeC2OwKQ==">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C3BD1D-70E8-4504-B0C1-E1C6D3B73A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091971-b0ef-48f5-bce1-a3196e01ad58}" enabled="1" method="Privileged" siteId="{4c1d9e0f-5c27-4228-a35a-de7b4083ff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1363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COURTOIS Cécile</dc:creator>
  <cp:keywords/>
  <cp:lastModifiedBy>SÁNCHEZ Míriam</cp:lastModifiedBy>
  <cp:revision>6</cp:revision>
  <dcterms:created xsi:type="dcterms:W3CDTF">2026-09-30T14:22:00Z</dcterms:created>
  <dcterms:modified xsi:type="dcterms:W3CDTF">2026-10-21T07:12:00Z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0x010100C507B8DFC332A440B799D44257F07BA7</vt:lpwstr>
  </property>
  <property fmtid="{D5CDD505-2E9C-101B-9397-08002B2CF9AE}" pid="3" name="GrammarlyDocumentId">
    <vt:lpwstr>797d063b200a87c27582bd0be5c9c9e5374e71033a601ec6e631990873192edf</vt:lpwstr>
  </property>
</Properties>
</file>