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763F1" w14:textId="26030313" w:rsidR="0034131E" w:rsidRPr="00833D4F" w:rsidRDefault="00054F03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right" w:pos="8504"/>
        </w:tabs>
        <w:spacing w:line="254" w:lineRule="auto"/>
        <w:jc w:val="right"/>
        <w:rPr>
          <w:rFonts w:ascii="Century Gothic" w:eastAsia="Century Gothic" w:hAnsi="Century Gothic" w:cs="Century Gothic"/>
          <w:color w:val="000000"/>
          <w:sz w:val="28"/>
          <w:szCs w:val="28"/>
          <w:lang w:val="es-ES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0CF9CF7E" wp14:editId="1F513E53">
            <wp:simplePos x="0" y="0"/>
            <wp:positionH relativeFrom="column">
              <wp:posOffset>-19431</wp:posOffset>
            </wp:positionH>
            <wp:positionV relativeFrom="paragraph">
              <wp:posOffset>-343840</wp:posOffset>
            </wp:positionV>
            <wp:extent cx="1345997" cy="833933"/>
            <wp:effectExtent l="0" t="0" r="6985" b="4445"/>
            <wp:wrapNone/>
            <wp:docPr id="82793767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7242" cy="834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60F9" w:rsidRPr="00833D4F">
        <w:rPr>
          <w:rFonts w:ascii="Century Gothic" w:eastAsia="Century Gothic" w:hAnsi="Century Gothic" w:cs="Century Gothic"/>
          <w:b/>
          <w:color w:val="000000"/>
          <w:sz w:val="28"/>
          <w:szCs w:val="28"/>
          <w:lang w:val="es-ES"/>
        </w:rPr>
        <w:t>Nota de prensa</w:t>
      </w:r>
    </w:p>
    <w:p w14:paraId="2721C22F" w14:textId="6EB5D1F3" w:rsidR="0034131E" w:rsidRPr="00833D4F" w:rsidRDefault="008E2F7B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right"/>
        <w:rPr>
          <w:rFonts w:ascii="Century Gothic" w:eastAsia="Century Gothic" w:hAnsi="Century Gothic" w:cs="Century Gothic"/>
          <w:color w:val="000000"/>
          <w:sz w:val="28"/>
          <w:szCs w:val="28"/>
          <w:lang w:val="es-ES"/>
        </w:rPr>
      </w:pPr>
      <w:r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es-ES"/>
        </w:rPr>
        <w:t>2</w:t>
      </w:r>
      <w:r w:rsidR="00672D2D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es-ES"/>
        </w:rPr>
        <w:t>0</w:t>
      </w:r>
      <w:r w:rsidR="00026093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es-ES"/>
        </w:rPr>
        <w:t xml:space="preserve"> </w:t>
      </w:r>
      <w:r w:rsidR="00E660F9" w:rsidRPr="10C8913A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es-ES"/>
        </w:rPr>
        <w:t xml:space="preserve">de </w:t>
      </w:r>
      <w:r w:rsidR="00672D2D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es-ES"/>
        </w:rPr>
        <w:t xml:space="preserve">mayo </w:t>
      </w:r>
      <w:r w:rsidR="00E660F9" w:rsidRPr="10C8913A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es-ES"/>
        </w:rPr>
        <w:t>de 202</w:t>
      </w:r>
      <w:r w:rsidR="00316012" w:rsidRPr="10C8913A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es-ES"/>
        </w:rPr>
        <w:t>6</w:t>
      </w:r>
    </w:p>
    <w:p w14:paraId="5523504D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709" w:hanging="709"/>
        <w:jc w:val="center"/>
        <w:rPr>
          <w:rFonts w:ascii="Century Gothic" w:eastAsia="Century Gothic" w:hAnsi="Century Gothic" w:cs="Century Gothic"/>
          <w:color w:val="162056"/>
          <w:sz w:val="48"/>
          <w:szCs w:val="48"/>
          <w:lang w:val="es-ES"/>
        </w:rPr>
      </w:pPr>
    </w:p>
    <w:p w14:paraId="145C2793" w14:textId="308168C1" w:rsidR="00B23548" w:rsidRDefault="00FC23BE" w:rsidP="000B15B7">
      <w:pPr>
        <w:pStyle w:val="BulletLead-in2"/>
        <w:numPr>
          <w:ilvl w:val="0"/>
          <w:numId w:val="0"/>
        </w:numPr>
        <w:jc w:val="both"/>
        <w:rPr>
          <w:rFonts w:cs="Century Gothic"/>
          <w:color w:val="000000" w:themeColor="text1"/>
          <w:sz w:val="44"/>
          <w:szCs w:val="44"/>
          <w:lang w:val="es-ES"/>
        </w:rPr>
      </w:pPr>
      <w:r w:rsidRPr="00FC23BE">
        <w:rPr>
          <w:rFonts w:cs="Century Gothic"/>
          <w:color w:val="000000" w:themeColor="text1"/>
          <w:sz w:val="44"/>
          <w:szCs w:val="44"/>
          <w:lang w:val="es-ES"/>
        </w:rPr>
        <w:t>Edenred lanza su modelo mixto: hasta 700 € más al año para perfiles con salario medio en España</w:t>
      </w:r>
    </w:p>
    <w:p w14:paraId="6C39E470" w14:textId="77777777" w:rsidR="00FC23BE" w:rsidRPr="009D71F7" w:rsidRDefault="00FC23BE" w:rsidP="000B15B7">
      <w:pPr>
        <w:pStyle w:val="BulletLead-in2"/>
        <w:numPr>
          <w:ilvl w:val="0"/>
          <w:numId w:val="0"/>
        </w:numPr>
        <w:jc w:val="both"/>
        <w:rPr>
          <w:b/>
          <w:bCs/>
          <w:lang w:val="es-ES"/>
        </w:rPr>
      </w:pPr>
    </w:p>
    <w:p w14:paraId="4926B902" w14:textId="12EEAFCB" w:rsidR="00552BC1" w:rsidRPr="00552BC1" w:rsidRDefault="00552BC1" w:rsidP="00552BC1">
      <w:pPr>
        <w:pStyle w:val="BulletLead-in2"/>
        <w:jc w:val="both"/>
        <w:rPr>
          <w:rFonts w:cs="Century Gothic"/>
          <w:b/>
          <w:bCs/>
          <w:lang w:val="es-ES"/>
        </w:rPr>
      </w:pPr>
      <w:r w:rsidRPr="00552BC1">
        <w:rPr>
          <w:rFonts w:cs="Century Gothic"/>
          <w:b/>
          <w:bCs/>
          <w:lang w:val="es-ES"/>
        </w:rPr>
        <w:t xml:space="preserve">Edenred lanza una nueva solución que permite integrar subvención más retribución flexible en el paquete retributivo, generando hasta 700 € anuales en beneficios exentos en salarios medios, con potencial de ahorro superior </w:t>
      </w:r>
      <w:r w:rsidR="00236FC3">
        <w:rPr>
          <w:rFonts w:cs="Century Gothic"/>
          <w:b/>
          <w:bCs/>
          <w:lang w:val="es-ES"/>
        </w:rPr>
        <w:t>según el s</w:t>
      </w:r>
      <w:r w:rsidR="00142D2F">
        <w:rPr>
          <w:rFonts w:cs="Century Gothic"/>
          <w:b/>
          <w:bCs/>
          <w:lang w:val="es-ES"/>
        </w:rPr>
        <w:t>ueldo</w:t>
      </w:r>
    </w:p>
    <w:p w14:paraId="1A13385F" w14:textId="77777777" w:rsidR="009525F2" w:rsidRDefault="009525F2" w:rsidP="00164C1D">
      <w:pPr>
        <w:pStyle w:val="BulletLead-in2"/>
        <w:numPr>
          <w:ilvl w:val="0"/>
          <w:numId w:val="0"/>
        </w:numPr>
        <w:ind w:left="720"/>
        <w:jc w:val="both"/>
        <w:rPr>
          <w:rFonts w:cs="Century Gothic"/>
          <w:b/>
          <w:bCs/>
          <w:lang w:val="es-ES"/>
        </w:rPr>
      </w:pPr>
    </w:p>
    <w:p w14:paraId="73F14E63" w14:textId="01944E16" w:rsidR="00EA1EE1" w:rsidRPr="00EA1EE1" w:rsidRDefault="00F716A8" w:rsidP="00164C1D">
      <w:pPr>
        <w:pStyle w:val="BulletLead-in2"/>
        <w:numPr>
          <w:ilvl w:val="0"/>
          <w:numId w:val="9"/>
        </w:numPr>
        <w:ind w:left="720"/>
        <w:jc w:val="both"/>
        <w:rPr>
          <w:rFonts w:cs="Century Gothic"/>
          <w:b/>
          <w:bCs/>
          <w:lang w:val="es-ES"/>
        </w:rPr>
      </w:pPr>
      <w:r>
        <w:rPr>
          <w:rFonts w:cs="Century Gothic"/>
          <w:b/>
          <w:bCs/>
          <w:lang w:val="es-ES"/>
        </w:rPr>
        <w:t>Su</w:t>
      </w:r>
      <w:r w:rsidR="00EA1EE1" w:rsidRPr="00EA1EE1">
        <w:rPr>
          <w:rFonts w:cs="Century Gothic"/>
          <w:b/>
          <w:bCs/>
          <w:lang w:val="es-ES"/>
        </w:rPr>
        <w:t xml:space="preserve"> integración con Savia</w:t>
      </w:r>
      <w:r w:rsidR="003C03E7">
        <w:rPr>
          <w:rFonts w:cs="Century Gothic"/>
          <w:b/>
          <w:bCs/>
          <w:lang w:val="es-ES"/>
        </w:rPr>
        <w:t xml:space="preserve">, </w:t>
      </w:r>
      <w:r w:rsidR="003C03E7" w:rsidRPr="003C03E7">
        <w:rPr>
          <w:rFonts w:cs="Century Gothic"/>
          <w:b/>
          <w:bCs/>
          <w:lang w:val="es-ES"/>
        </w:rPr>
        <w:t>plataforma de salud digital de Mapfre</w:t>
      </w:r>
      <w:r w:rsidR="003C03E7">
        <w:rPr>
          <w:rFonts w:cs="Century Gothic"/>
          <w:b/>
          <w:bCs/>
          <w:lang w:val="es-ES"/>
        </w:rPr>
        <w:t>,</w:t>
      </w:r>
      <w:r w:rsidR="00EA1EE1" w:rsidRPr="00EA1EE1">
        <w:rPr>
          <w:rFonts w:cs="Century Gothic"/>
          <w:b/>
          <w:bCs/>
          <w:lang w:val="es-ES"/>
        </w:rPr>
        <w:t xml:space="preserve"> refuerza la apuesta por el bienestar con servicios de salud </w:t>
      </w:r>
      <w:r w:rsidR="00E36C34">
        <w:rPr>
          <w:rFonts w:cs="Century Gothic"/>
          <w:b/>
          <w:bCs/>
          <w:lang w:val="es-ES"/>
        </w:rPr>
        <w:t>emocional y nutricional</w:t>
      </w:r>
      <w:r w:rsidR="00EA1EE1" w:rsidRPr="00EA1EE1">
        <w:rPr>
          <w:rFonts w:cs="Century Gothic"/>
          <w:b/>
          <w:bCs/>
          <w:lang w:val="es-ES"/>
        </w:rPr>
        <w:t xml:space="preserve">, mientras nuevas herramientas avanzadas mejoran la comunicación interna </w:t>
      </w:r>
      <w:r w:rsidR="00300E23">
        <w:rPr>
          <w:rFonts w:cs="Century Gothic"/>
          <w:b/>
          <w:bCs/>
          <w:lang w:val="es-ES"/>
        </w:rPr>
        <w:t xml:space="preserve">y </w:t>
      </w:r>
      <w:r w:rsidR="00300E23" w:rsidRPr="00770BBA">
        <w:rPr>
          <w:rFonts w:cs="Century Gothic"/>
          <w:b/>
          <w:bCs/>
          <w:lang w:val="es-ES"/>
        </w:rPr>
        <w:t>elevan la experiencia de los equipos</w:t>
      </w:r>
    </w:p>
    <w:p w14:paraId="5FC127DD" w14:textId="4A367A47" w:rsidR="00793DB6" w:rsidRPr="004C0418" w:rsidRDefault="00793DB6" w:rsidP="00103781">
      <w:pPr>
        <w:pStyle w:val="BulletLead-in2"/>
        <w:numPr>
          <w:ilvl w:val="0"/>
          <w:numId w:val="0"/>
        </w:numPr>
        <w:ind w:left="1080"/>
        <w:jc w:val="both"/>
        <w:rPr>
          <w:b/>
          <w:bCs/>
          <w:lang w:val="es-ES" w:eastAsia="es-ES"/>
        </w:rPr>
      </w:pPr>
    </w:p>
    <w:p w14:paraId="78BC6079" w14:textId="77777777" w:rsidR="00D13FE4" w:rsidRPr="00833D4F" w:rsidRDefault="00D13FE4" w:rsidP="008615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s-ES"/>
        </w:rPr>
      </w:pPr>
    </w:p>
    <w:p w14:paraId="0810B766" w14:textId="1C76D136" w:rsidR="005763AD" w:rsidRPr="005763AD" w:rsidRDefault="005763AD" w:rsidP="005763AD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5763AD">
        <w:rPr>
          <w:rFonts w:ascii="Century Gothic" w:eastAsia="Century Gothic" w:hAnsi="Century Gothic" w:cs="Century Gothic"/>
          <w:color w:val="auto"/>
          <w:lang w:val="es-ES"/>
        </w:rPr>
        <w:t xml:space="preserve">La presión sobre el poder adquisitivo, la creciente demanda de conciliación y la baja implantación de modelos flexibles están redefiniendo las prioridades del talento en España. En este contexto, </w:t>
      </w:r>
      <w:r w:rsidRPr="005763AD">
        <w:rPr>
          <w:rFonts w:ascii="Century Gothic" w:eastAsia="Century Gothic" w:hAnsi="Century Gothic" w:cs="Century Gothic"/>
          <w:b/>
          <w:bCs/>
          <w:color w:val="auto"/>
          <w:lang w:val="es-ES"/>
        </w:rPr>
        <w:t>Edenred</w:t>
      </w:r>
      <w:r w:rsidRPr="005763AD">
        <w:rPr>
          <w:rFonts w:ascii="Century Gothic" w:eastAsia="Century Gothic" w:hAnsi="Century Gothic" w:cs="Century Gothic"/>
          <w:color w:val="auto"/>
          <w:lang w:val="es-ES"/>
        </w:rPr>
        <w:t xml:space="preserve">, plataforma digital </w:t>
      </w:r>
      <w:proofErr w:type="spellStart"/>
      <w:r w:rsidRPr="005763AD">
        <w:rPr>
          <w:rFonts w:ascii="Century Gothic" w:eastAsia="Century Gothic" w:hAnsi="Century Gothic" w:cs="Century Gothic"/>
          <w:color w:val="auto"/>
          <w:lang w:val="es-ES"/>
        </w:rPr>
        <w:t>multisolución</w:t>
      </w:r>
      <w:proofErr w:type="spellEnd"/>
      <w:r w:rsidRPr="005763AD">
        <w:rPr>
          <w:rFonts w:ascii="Century Gothic" w:eastAsia="Century Gothic" w:hAnsi="Century Gothic" w:cs="Century Gothic"/>
          <w:color w:val="auto"/>
          <w:lang w:val="es-ES"/>
        </w:rPr>
        <w:t xml:space="preserve"> especializada en beneficios sociales y </w:t>
      </w:r>
      <w:proofErr w:type="spellStart"/>
      <w:r w:rsidRPr="005763AD">
        <w:rPr>
          <w:rFonts w:ascii="Century Gothic" w:eastAsia="Century Gothic" w:hAnsi="Century Gothic" w:cs="Century Gothic"/>
          <w:color w:val="auto"/>
          <w:lang w:val="es-ES"/>
        </w:rPr>
        <w:t>employee</w:t>
      </w:r>
      <w:proofErr w:type="spellEnd"/>
      <w:r w:rsidRPr="005763AD">
        <w:rPr>
          <w:rFonts w:ascii="Century Gothic" w:eastAsia="Century Gothic" w:hAnsi="Century Gothic" w:cs="Century Gothic"/>
          <w:color w:val="auto"/>
          <w:lang w:val="es-ES"/>
        </w:rPr>
        <w:t xml:space="preserve"> </w:t>
      </w:r>
      <w:proofErr w:type="spellStart"/>
      <w:r w:rsidRPr="005763AD">
        <w:rPr>
          <w:rFonts w:ascii="Century Gothic" w:eastAsia="Century Gothic" w:hAnsi="Century Gothic" w:cs="Century Gothic"/>
          <w:color w:val="auto"/>
          <w:lang w:val="es-ES"/>
        </w:rPr>
        <w:t>engagement</w:t>
      </w:r>
      <w:proofErr w:type="spellEnd"/>
      <w:r w:rsidRPr="005763AD">
        <w:rPr>
          <w:rFonts w:ascii="Century Gothic" w:eastAsia="Century Gothic" w:hAnsi="Century Gothic" w:cs="Century Gothic"/>
          <w:color w:val="auto"/>
          <w:lang w:val="es-ES"/>
        </w:rPr>
        <w:t>, presenta su</w:t>
      </w:r>
      <w:r w:rsidR="00731B4D">
        <w:rPr>
          <w:rFonts w:ascii="Century Gothic" w:eastAsia="Century Gothic" w:hAnsi="Century Gothic" w:cs="Century Gothic"/>
          <w:color w:val="auto"/>
          <w:lang w:val="es-ES"/>
        </w:rPr>
        <w:t xml:space="preserve"> </w:t>
      </w:r>
      <w:r w:rsidR="00550C3F" w:rsidRPr="00550C3F">
        <w:rPr>
          <w:rFonts w:ascii="Century Gothic" w:eastAsia="Century Gothic" w:hAnsi="Century Gothic" w:cs="Century Gothic"/>
          <w:b/>
          <w:bCs/>
          <w:color w:val="auto"/>
          <w:lang w:val="es-ES"/>
        </w:rPr>
        <w:t>i</w:t>
      </w:r>
      <w:r w:rsidR="00DE0A64" w:rsidRPr="00550C3F">
        <w:rPr>
          <w:rFonts w:ascii="Century Gothic" w:eastAsia="Century Gothic" w:hAnsi="Century Gothic" w:cs="Century Gothic"/>
          <w:b/>
          <w:bCs/>
          <w:color w:val="auto"/>
          <w:lang w:val="es-ES"/>
        </w:rPr>
        <w:t>nnova</w:t>
      </w:r>
      <w:r w:rsidR="00550C3F" w:rsidRPr="00550C3F">
        <w:rPr>
          <w:rFonts w:ascii="Century Gothic" w:eastAsia="Century Gothic" w:hAnsi="Century Gothic" w:cs="Century Gothic"/>
          <w:b/>
          <w:bCs/>
          <w:color w:val="auto"/>
          <w:lang w:val="es-ES"/>
        </w:rPr>
        <w:t>d</w:t>
      </w:r>
      <w:r w:rsidR="00DE0A64" w:rsidRPr="00550C3F">
        <w:rPr>
          <w:rFonts w:ascii="Century Gothic" w:eastAsia="Century Gothic" w:hAnsi="Century Gothic" w:cs="Century Gothic"/>
          <w:b/>
          <w:bCs/>
          <w:color w:val="auto"/>
          <w:lang w:val="es-ES"/>
        </w:rPr>
        <w:t>or</w:t>
      </w:r>
      <w:r w:rsidR="00DE0A64" w:rsidRPr="00DE0A64">
        <w:rPr>
          <w:rFonts w:ascii="Century Gothic" w:eastAsia="Century Gothic" w:hAnsi="Century Gothic" w:cs="Century Gothic"/>
          <w:b/>
          <w:bCs/>
          <w:color w:val="FF0000"/>
          <w:lang w:val="es-ES"/>
        </w:rPr>
        <w:t xml:space="preserve"> </w:t>
      </w:r>
      <w:r w:rsidRPr="005763AD">
        <w:rPr>
          <w:rFonts w:ascii="Century Gothic" w:eastAsia="Century Gothic" w:hAnsi="Century Gothic" w:cs="Century Gothic"/>
          <w:b/>
          <w:bCs/>
          <w:color w:val="auto"/>
          <w:lang w:val="es-ES"/>
        </w:rPr>
        <w:t>modelo mixto de beneficios</w:t>
      </w:r>
      <w:r w:rsidRPr="005763AD">
        <w:rPr>
          <w:rFonts w:ascii="Century Gothic" w:eastAsia="Century Gothic" w:hAnsi="Century Gothic" w:cs="Century Gothic"/>
          <w:color w:val="auto"/>
          <w:lang w:val="es-ES"/>
        </w:rPr>
        <w:t xml:space="preserve">, </w:t>
      </w:r>
      <w:r w:rsidR="00214AB7" w:rsidRPr="00770BBA">
        <w:rPr>
          <w:rFonts w:ascii="Century Gothic" w:eastAsia="Century Gothic" w:hAnsi="Century Gothic" w:cs="Century Gothic"/>
          <w:color w:val="auto"/>
          <w:lang w:val="es-ES"/>
        </w:rPr>
        <w:t xml:space="preserve">una fórmula que </w:t>
      </w:r>
      <w:r w:rsidR="00214AB7" w:rsidRPr="00770BBA">
        <w:rPr>
          <w:rFonts w:ascii="Century Gothic" w:eastAsia="Century Gothic" w:hAnsi="Century Gothic" w:cs="Century Gothic"/>
          <w:b/>
          <w:bCs/>
          <w:color w:val="auto"/>
          <w:lang w:val="es-ES"/>
        </w:rPr>
        <w:t>combina la subvención directa de la empresa</w:t>
      </w:r>
      <w:r w:rsidR="00214AB7" w:rsidRPr="00770BBA">
        <w:rPr>
          <w:rFonts w:ascii="Century Gothic" w:eastAsia="Century Gothic" w:hAnsi="Century Gothic" w:cs="Century Gothic"/>
          <w:color w:val="auto"/>
          <w:lang w:val="es-ES"/>
        </w:rPr>
        <w:t xml:space="preserve"> </w:t>
      </w:r>
      <w:r w:rsidR="00214AB7" w:rsidRPr="00770BBA">
        <w:rPr>
          <w:rFonts w:ascii="Century Gothic" w:eastAsia="Century Gothic" w:hAnsi="Century Gothic" w:cs="Century Gothic"/>
          <w:b/>
          <w:bCs/>
          <w:color w:val="auto"/>
          <w:lang w:val="es-ES"/>
        </w:rPr>
        <w:t>con</w:t>
      </w:r>
      <w:r w:rsidR="0010482A" w:rsidRPr="00770BBA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 la retribución </w:t>
      </w:r>
      <w:r w:rsidR="0010482A" w:rsidRPr="00770BBA">
        <w:rPr>
          <w:rFonts w:ascii="Century Gothic" w:eastAsia="Century Gothic" w:hAnsi="Century Gothic" w:cs="Century Gothic"/>
          <w:color w:val="auto"/>
          <w:lang w:val="es-ES"/>
        </w:rPr>
        <w:t>flexible asumida por el propio profesional,</w:t>
      </w:r>
      <w:r w:rsidR="0010482A" w:rsidRPr="00770BBA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 </w:t>
      </w:r>
      <w:r w:rsidR="007627EE" w:rsidRPr="00770BBA">
        <w:rPr>
          <w:rFonts w:ascii="Century Gothic" w:eastAsia="Century Gothic" w:hAnsi="Century Gothic" w:cs="Century Gothic"/>
          <w:color w:val="auto"/>
          <w:lang w:val="es-ES"/>
        </w:rPr>
        <w:t xml:space="preserve">permitiendo </w:t>
      </w:r>
      <w:r w:rsidR="007627EE" w:rsidRPr="00770BBA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mejorar la capacidad económica de los equipos </w:t>
      </w:r>
      <w:r w:rsidR="007627EE" w:rsidRPr="00770BBA">
        <w:rPr>
          <w:rFonts w:ascii="Century Gothic" w:eastAsia="Century Gothic" w:hAnsi="Century Gothic" w:cs="Century Gothic"/>
          <w:color w:val="auto"/>
          <w:lang w:val="es-ES"/>
        </w:rPr>
        <w:t>sin incrementar los costes para las compañías.</w:t>
      </w:r>
    </w:p>
    <w:p w14:paraId="7E4514F7" w14:textId="77777777" w:rsidR="00C63AA1" w:rsidRPr="0074182A" w:rsidRDefault="00C63AA1" w:rsidP="00440013">
      <w:pPr>
        <w:jc w:val="both"/>
        <w:rPr>
          <w:lang w:val="es-ES"/>
        </w:rPr>
      </w:pPr>
    </w:p>
    <w:p w14:paraId="2F7F680F" w14:textId="77777777" w:rsidR="005763AD" w:rsidRPr="005763AD" w:rsidRDefault="005763AD" w:rsidP="005763AD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5763AD">
        <w:rPr>
          <w:rFonts w:ascii="Century Gothic" w:eastAsia="Century Gothic" w:hAnsi="Century Gothic" w:cs="Century Gothic"/>
          <w:color w:val="auto"/>
          <w:lang w:val="es-ES"/>
        </w:rPr>
        <w:t xml:space="preserve">Según el estudio sobre Bienestar y Salud Laboral de Edenred 2025, el mercado laboral refleja un claro desajuste: </w:t>
      </w:r>
      <w:r w:rsidRPr="005763AD">
        <w:rPr>
          <w:rFonts w:ascii="Century Gothic" w:eastAsia="Century Gothic" w:hAnsi="Century Gothic" w:cs="Century Gothic"/>
          <w:b/>
          <w:bCs/>
          <w:color w:val="auto"/>
          <w:lang w:val="es-ES"/>
        </w:rPr>
        <w:t>solo el 49,7 % de los profesionales se declara satisfecho con su salario, mientras que únicamente el 42,9 % tiene acceso a retribución flexible</w:t>
      </w:r>
      <w:r w:rsidRPr="005763AD">
        <w:rPr>
          <w:rFonts w:ascii="Century Gothic" w:eastAsia="Century Gothic" w:hAnsi="Century Gothic" w:cs="Century Gothic"/>
          <w:color w:val="auto"/>
          <w:lang w:val="es-ES"/>
        </w:rPr>
        <w:t xml:space="preserve">. Además, </w:t>
      </w:r>
      <w:r w:rsidRPr="005763AD">
        <w:rPr>
          <w:rFonts w:ascii="Century Gothic" w:eastAsia="Century Gothic" w:hAnsi="Century Gothic" w:cs="Century Gothic"/>
          <w:b/>
          <w:bCs/>
          <w:color w:val="auto"/>
          <w:lang w:val="es-ES"/>
        </w:rPr>
        <w:t>uno de cada cuatro profesionales valora especialmente que su empresa ofrezca beneficios</w:t>
      </w:r>
      <w:r w:rsidRPr="005763AD">
        <w:rPr>
          <w:rFonts w:ascii="Century Gothic" w:eastAsia="Century Gothic" w:hAnsi="Century Gothic" w:cs="Century Gothic"/>
          <w:color w:val="auto"/>
          <w:lang w:val="es-ES"/>
        </w:rPr>
        <w:t xml:space="preserve"> como retribución flexible, salario emocional o servicios de salud.</w:t>
      </w:r>
    </w:p>
    <w:p w14:paraId="64370F66" w14:textId="77777777" w:rsidR="006733D2" w:rsidRDefault="006733D2" w:rsidP="00215938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26136C96" w14:textId="77777777" w:rsidR="00382F06" w:rsidRPr="00382F06" w:rsidRDefault="00382F06" w:rsidP="00382F06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382F06">
        <w:rPr>
          <w:rFonts w:ascii="Century Gothic" w:eastAsia="Century Gothic" w:hAnsi="Century Gothic" w:cs="Century Gothic"/>
          <w:color w:val="auto"/>
          <w:lang w:val="es-ES"/>
        </w:rPr>
        <w:t>Este escenario sitúa a los beneficios sociales, junto con la retribución flexible, como una palanca estratégica cada vez más relevante para mejorar el bienestar y el poder adquisitivo.</w:t>
      </w:r>
    </w:p>
    <w:p w14:paraId="7DB72D6F" w14:textId="77777777" w:rsidR="005763AD" w:rsidRPr="005763AD" w:rsidRDefault="005763AD" w:rsidP="005763AD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7A3E442D" w14:textId="3DF6872D" w:rsidR="004E3B8A" w:rsidRDefault="004E3B8A" w:rsidP="004E3B8A">
      <w:p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  <w:r w:rsidRPr="004E3B8A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Del beneficio tradicional al </w:t>
      </w:r>
      <w:r w:rsidR="00CF30BA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nuevo </w:t>
      </w:r>
      <w:r w:rsidRPr="004E3B8A">
        <w:rPr>
          <w:rFonts w:ascii="Century Gothic" w:eastAsia="Century Gothic" w:hAnsi="Century Gothic" w:cs="Century Gothic"/>
          <w:b/>
          <w:bCs/>
          <w:color w:val="auto"/>
          <w:lang w:val="es-ES"/>
        </w:rPr>
        <w:t>modelo mixto: más capacidad de decisión</w:t>
      </w:r>
    </w:p>
    <w:p w14:paraId="53D219CF" w14:textId="77777777" w:rsidR="005F6F48" w:rsidRPr="004E3B8A" w:rsidRDefault="005F6F48" w:rsidP="004E3B8A">
      <w:p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</w:p>
    <w:p w14:paraId="4FEEC72D" w14:textId="04CF7F99" w:rsidR="00E83C62" w:rsidRPr="00770BBA" w:rsidRDefault="005F6F48" w:rsidP="00E83C62">
      <w:p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  <w:r w:rsidRPr="00770BBA">
        <w:rPr>
          <w:rFonts w:ascii="Century Gothic" w:eastAsia="Century Gothic" w:hAnsi="Century Gothic" w:cs="Century Gothic"/>
          <w:color w:val="auto"/>
          <w:lang w:val="es-ES"/>
        </w:rPr>
        <w:t xml:space="preserve">La </w:t>
      </w:r>
      <w:r w:rsidRPr="00770BBA">
        <w:rPr>
          <w:rFonts w:ascii="Century Gothic" w:eastAsia="Century Gothic" w:hAnsi="Century Gothic" w:cs="Century Gothic"/>
          <w:b/>
          <w:bCs/>
          <w:color w:val="auto"/>
          <w:lang w:val="es-ES"/>
        </w:rPr>
        <w:t>integración del modelo mixto en la plataforma Flex</w:t>
      </w:r>
      <w:r w:rsidRPr="00770BBA">
        <w:rPr>
          <w:rFonts w:ascii="Century Gothic" w:eastAsia="Century Gothic" w:hAnsi="Century Gothic" w:cs="Century Gothic"/>
          <w:color w:val="auto"/>
          <w:lang w:val="es-ES"/>
        </w:rPr>
        <w:t xml:space="preserve"> supone un </w:t>
      </w:r>
      <w:r w:rsidRPr="00770BBA">
        <w:rPr>
          <w:rFonts w:ascii="Century Gothic" w:eastAsia="Century Gothic" w:hAnsi="Century Gothic" w:cs="Century Gothic"/>
          <w:b/>
          <w:bCs/>
          <w:color w:val="auto"/>
          <w:lang w:val="es-ES"/>
        </w:rPr>
        <w:t>avance en la gestión de la compensación</w:t>
      </w:r>
      <w:r w:rsidRPr="00770BBA">
        <w:rPr>
          <w:rFonts w:ascii="Century Gothic" w:eastAsia="Century Gothic" w:hAnsi="Century Gothic" w:cs="Century Gothic"/>
          <w:color w:val="auto"/>
          <w:lang w:val="es-ES"/>
        </w:rPr>
        <w:t xml:space="preserve">, al </w:t>
      </w:r>
      <w:r w:rsidRPr="00870402">
        <w:rPr>
          <w:rFonts w:ascii="Century Gothic" w:eastAsia="Century Gothic" w:hAnsi="Century Gothic" w:cs="Century Gothic"/>
          <w:color w:val="auto"/>
          <w:lang w:val="es-ES"/>
        </w:rPr>
        <w:t>combinar en un mismo entorno la subvención directa de la empresa con la retribución flexible del propio profesional</w:t>
      </w:r>
      <w:r w:rsidRPr="00770BBA">
        <w:rPr>
          <w:rFonts w:ascii="Century Gothic" w:eastAsia="Century Gothic" w:hAnsi="Century Gothic" w:cs="Century Gothic"/>
          <w:color w:val="auto"/>
          <w:lang w:val="es-ES"/>
        </w:rPr>
        <w:t xml:space="preserve">. Esto permite </w:t>
      </w:r>
      <w:r w:rsidRPr="00770BBA">
        <w:rPr>
          <w:rFonts w:ascii="Century Gothic" w:eastAsia="Century Gothic" w:hAnsi="Century Gothic" w:cs="Century Gothic"/>
          <w:b/>
          <w:bCs/>
          <w:color w:val="auto"/>
          <w:lang w:val="es-ES"/>
        </w:rPr>
        <w:t>simplificar procesos, reducir la carga administrativa y mejorar la visibilidad sobre el valor real de los beneficios.</w:t>
      </w:r>
    </w:p>
    <w:p w14:paraId="5B00BD7F" w14:textId="77777777" w:rsidR="00AA27C3" w:rsidRPr="00AA27C3" w:rsidRDefault="00AA27C3" w:rsidP="00AA27C3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410F5E24" w14:textId="1F891FCF" w:rsidR="00AA27C3" w:rsidRDefault="00AA27C3" w:rsidP="00AA27C3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AA27C3">
        <w:rPr>
          <w:rFonts w:ascii="Century Gothic" w:eastAsia="Century Gothic" w:hAnsi="Century Gothic" w:cs="Century Gothic"/>
          <w:color w:val="auto"/>
          <w:lang w:val="es-ES"/>
        </w:rPr>
        <w:t xml:space="preserve">De este modo, responde a dos necesidades clave. Por un lado, </w:t>
      </w:r>
      <w:r w:rsidRPr="00AA27C3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permite a las compañías ofrecer mejores condiciones </w:t>
      </w:r>
      <w:r w:rsidRPr="00AA27C3">
        <w:rPr>
          <w:rFonts w:ascii="Century Gothic" w:eastAsia="Century Gothic" w:hAnsi="Century Gothic" w:cs="Century Gothic"/>
          <w:color w:val="auto"/>
          <w:lang w:val="es-ES"/>
        </w:rPr>
        <w:t>sin asumir el coste</w:t>
      </w:r>
      <w:r w:rsidRPr="00DE0A64">
        <w:rPr>
          <w:rFonts w:ascii="Century Gothic" w:eastAsia="Century Gothic" w:hAnsi="Century Gothic" w:cs="Century Gothic"/>
          <w:color w:val="FF0000"/>
          <w:lang w:val="es-ES"/>
        </w:rPr>
        <w:t xml:space="preserve"> </w:t>
      </w:r>
      <w:r w:rsidRPr="00AA27C3">
        <w:rPr>
          <w:rFonts w:ascii="Century Gothic" w:eastAsia="Century Gothic" w:hAnsi="Century Gothic" w:cs="Century Gothic"/>
          <w:color w:val="auto"/>
          <w:lang w:val="es-ES"/>
        </w:rPr>
        <w:t>de un incremento salarial</w:t>
      </w:r>
      <w:r w:rsidR="007404EB" w:rsidRPr="007404EB">
        <w:rPr>
          <w:rFonts w:ascii="Century Gothic" w:eastAsia="Century Gothic" w:hAnsi="Century Gothic" w:cs="Century Gothic"/>
          <w:color w:val="auto"/>
          <w:lang w:val="es-ES"/>
        </w:rPr>
        <w:t>,</w:t>
      </w:r>
      <w:r w:rsidR="007404EB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 </w:t>
      </w:r>
      <w:r w:rsidR="007404EB" w:rsidRPr="00C224DC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reforzar su propuesta de valor </w:t>
      </w:r>
      <w:r w:rsidR="007404EB" w:rsidRPr="00C224DC">
        <w:rPr>
          <w:rFonts w:ascii="Century Gothic" w:eastAsia="Century Gothic" w:hAnsi="Century Gothic" w:cs="Century Gothic"/>
          <w:color w:val="auto"/>
          <w:lang w:val="es-ES"/>
        </w:rPr>
        <w:t xml:space="preserve">y </w:t>
      </w:r>
      <w:r w:rsidR="007404EB" w:rsidRPr="00C224DC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aumentar el compromiso </w:t>
      </w:r>
      <w:r w:rsidR="007404EB" w:rsidRPr="00C224DC">
        <w:rPr>
          <w:rFonts w:ascii="Century Gothic" w:eastAsia="Century Gothic" w:hAnsi="Century Gothic" w:cs="Century Gothic"/>
          <w:color w:val="auto"/>
          <w:lang w:val="es-ES"/>
        </w:rPr>
        <w:t>de sus equipos</w:t>
      </w:r>
      <w:r w:rsidRPr="00AA27C3">
        <w:rPr>
          <w:rFonts w:ascii="Century Gothic" w:eastAsia="Century Gothic" w:hAnsi="Century Gothic" w:cs="Century Gothic"/>
          <w:color w:val="auto"/>
          <w:lang w:val="es-ES"/>
        </w:rPr>
        <w:t xml:space="preserve">. Por otro, otorga al talento </w:t>
      </w:r>
      <w:r w:rsidRPr="00AA27C3">
        <w:rPr>
          <w:rFonts w:ascii="Century Gothic" w:eastAsia="Century Gothic" w:hAnsi="Century Gothic" w:cs="Century Gothic"/>
          <w:b/>
          <w:bCs/>
          <w:color w:val="auto"/>
          <w:lang w:val="es-ES"/>
        </w:rPr>
        <w:lastRenderedPageBreak/>
        <w:t>mayor capacidad de decisión</w:t>
      </w:r>
      <w:r w:rsidR="00DE0A64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 </w:t>
      </w:r>
      <w:r w:rsidRPr="00AA27C3">
        <w:rPr>
          <w:rFonts w:ascii="Century Gothic" w:eastAsia="Century Gothic" w:hAnsi="Century Gothic" w:cs="Century Gothic"/>
          <w:b/>
          <w:bCs/>
          <w:color w:val="auto"/>
          <w:lang w:val="es-ES"/>
        </w:rPr>
        <w:t>sobre su paquete retributivo</w:t>
      </w:r>
      <w:r w:rsidRPr="00AA27C3">
        <w:rPr>
          <w:rFonts w:ascii="Century Gothic" w:eastAsia="Century Gothic" w:hAnsi="Century Gothic" w:cs="Century Gothic"/>
          <w:color w:val="auto"/>
          <w:lang w:val="es-ES"/>
        </w:rPr>
        <w:t>, optimizando además su impacto fiscal.</w:t>
      </w:r>
    </w:p>
    <w:p w14:paraId="35AEAEF2" w14:textId="77777777" w:rsidR="00AA27C3" w:rsidRPr="00AA27C3" w:rsidRDefault="00AA27C3" w:rsidP="00AA27C3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059B5B08" w14:textId="77777777" w:rsidR="00AA27C3" w:rsidRPr="00AA27C3" w:rsidRDefault="00AA27C3" w:rsidP="00AA27C3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AA27C3">
        <w:rPr>
          <w:rFonts w:ascii="Century Gothic" w:eastAsia="Century Gothic" w:hAnsi="Century Gothic" w:cs="Century Gothic"/>
          <w:color w:val="auto"/>
          <w:lang w:val="es-ES"/>
        </w:rPr>
        <w:t xml:space="preserve">En la práctica, este modelo facilita el </w:t>
      </w:r>
      <w:r w:rsidRPr="00AA27C3">
        <w:rPr>
          <w:rFonts w:ascii="Century Gothic" w:eastAsia="Century Gothic" w:hAnsi="Century Gothic" w:cs="Century Gothic"/>
          <w:b/>
          <w:bCs/>
          <w:color w:val="auto"/>
          <w:lang w:val="es-ES"/>
        </w:rPr>
        <w:t>acceso a soluciones como Ticket Restaurant, transporte, guardería, formación o seguro de salud</w:t>
      </w:r>
      <w:r w:rsidRPr="00AA27C3">
        <w:rPr>
          <w:rFonts w:ascii="Century Gothic" w:eastAsia="Century Gothic" w:hAnsi="Century Gothic" w:cs="Century Gothic"/>
          <w:color w:val="auto"/>
          <w:lang w:val="es-ES"/>
        </w:rPr>
        <w:t>, cuyo tratamiento fiscal permite incrementar el poder adquisitivo real.</w:t>
      </w:r>
    </w:p>
    <w:p w14:paraId="7A1DDAF4" w14:textId="77777777" w:rsidR="003A15A6" w:rsidRDefault="003A15A6" w:rsidP="009952CA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7FDDAC66" w14:textId="37A3F72C" w:rsidR="008823F0" w:rsidRPr="00770BBA" w:rsidRDefault="008823F0" w:rsidP="00F3437B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770BBA">
        <w:rPr>
          <w:rFonts w:ascii="Century Gothic" w:eastAsia="Century Gothic" w:hAnsi="Century Gothic" w:cs="Century Gothic"/>
          <w:color w:val="auto"/>
          <w:lang w:val="es-ES"/>
        </w:rPr>
        <w:t xml:space="preserve">Por ejemplo, </w:t>
      </w:r>
      <w:r w:rsidRPr="00770BBA">
        <w:rPr>
          <w:rFonts w:ascii="Century Gothic" w:eastAsia="Century Gothic" w:hAnsi="Century Gothic" w:cs="Century Gothic"/>
          <w:b/>
          <w:bCs/>
          <w:color w:val="auto"/>
          <w:lang w:val="es-ES"/>
        </w:rPr>
        <w:t>un</w:t>
      </w:r>
      <w:r w:rsidRPr="00770BBA">
        <w:rPr>
          <w:rFonts w:ascii="Century Gothic" w:eastAsia="Century Gothic" w:hAnsi="Century Gothic" w:cs="Century Gothic"/>
          <w:color w:val="auto"/>
          <w:lang w:val="es-ES"/>
        </w:rPr>
        <w:t xml:space="preserve"> </w:t>
      </w:r>
      <w:r w:rsidRPr="00770BBA">
        <w:rPr>
          <w:rFonts w:ascii="Century Gothic" w:eastAsia="Century Gothic" w:hAnsi="Century Gothic" w:cs="Century Gothic"/>
          <w:b/>
          <w:bCs/>
          <w:color w:val="auto"/>
          <w:lang w:val="es-ES"/>
        </w:rPr>
        <w:t>profesional con un salario medio en España de 33.700 € brutos anuales</w:t>
      </w:r>
      <w:r w:rsidRPr="00770BBA">
        <w:rPr>
          <w:rFonts w:ascii="Century Gothic" w:eastAsia="Century Gothic" w:hAnsi="Century Gothic" w:cs="Century Gothic"/>
          <w:color w:val="auto"/>
          <w:lang w:val="es-ES"/>
        </w:rPr>
        <w:t xml:space="preserve">, cuya empresa le ofrece </w:t>
      </w:r>
      <w:r w:rsidRPr="00770BBA">
        <w:rPr>
          <w:rFonts w:ascii="Century Gothic" w:eastAsia="Century Gothic" w:hAnsi="Century Gothic" w:cs="Century Gothic"/>
          <w:b/>
          <w:bCs/>
          <w:color w:val="auto"/>
          <w:lang w:val="es-ES"/>
        </w:rPr>
        <w:t>100 € mensuales en Ticket Restaurant</w:t>
      </w:r>
      <w:r w:rsidRPr="00770BBA">
        <w:rPr>
          <w:rFonts w:ascii="Century Gothic" w:eastAsia="Century Gothic" w:hAnsi="Century Gothic" w:cs="Century Gothic"/>
          <w:color w:val="auto"/>
          <w:lang w:val="es-ES"/>
        </w:rPr>
        <w:t xml:space="preserve">, puede complementar esta cantidad </w:t>
      </w:r>
      <w:r w:rsidRPr="00770BBA">
        <w:rPr>
          <w:rFonts w:ascii="Century Gothic" w:eastAsia="Century Gothic" w:hAnsi="Century Gothic" w:cs="Century Gothic"/>
          <w:b/>
          <w:bCs/>
          <w:color w:val="auto"/>
          <w:lang w:val="es-ES"/>
        </w:rPr>
        <w:t>destinando hasta 120 € adicionales al mes a través de retribución flexible</w:t>
      </w:r>
      <w:r w:rsidRPr="00770BBA">
        <w:rPr>
          <w:rFonts w:ascii="Century Gothic" w:eastAsia="Century Gothic" w:hAnsi="Century Gothic" w:cs="Century Gothic"/>
          <w:color w:val="auto"/>
          <w:lang w:val="es-ES"/>
        </w:rPr>
        <w:t xml:space="preserve">, alcanzando así el máximo exento permitido. </w:t>
      </w:r>
    </w:p>
    <w:p w14:paraId="5A1A6C53" w14:textId="77777777" w:rsidR="008823F0" w:rsidRPr="00770BBA" w:rsidRDefault="008823F0" w:rsidP="00F3437B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34ECAA31" w14:textId="6926B98C" w:rsidR="00F3437B" w:rsidRPr="001C2F0A" w:rsidRDefault="00E44C67" w:rsidP="00F3437B">
      <w:p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  <w:r w:rsidRPr="00E44C67">
        <w:rPr>
          <w:rFonts w:ascii="Century Gothic" w:eastAsia="Century Gothic" w:hAnsi="Century Gothic" w:cs="Century Gothic"/>
          <w:color w:val="auto"/>
          <w:lang w:val="es-ES"/>
        </w:rPr>
        <w:t xml:space="preserve">Esto se traduce en </w:t>
      </w:r>
      <w:r w:rsidRPr="001C2F0A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hasta 220 € mensuales en </w:t>
      </w:r>
      <w:r w:rsidR="006C029C">
        <w:rPr>
          <w:rFonts w:ascii="Century Gothic" w:eastAsia="Century Gothic" w:hAnsi="Century Gothic" w:cs="Century Gothic"/>
          <w:b/>
          <w:bCs/>
          <w:color w:val="auto"/>
          <w:lang w:val="es-ES"/>
        </w:rPr>
        <w:t>Ticket Restauran</w:t>
      </w:r>
      <w:r w:rsidR="00770BBA">
        <w:rPr>
          <w:rFonts w:ascii="Century Gothic" w:eastAsia="Century Gothic" w:hAnsi="Century Gothic" w:cs="Century Gothic"/>
          <w:b/>
          <w:bCs/>
          <w:color w:val="auto"/>
          <w:lang w:val="es-ES"/>
        </w:rPr>
        <w:t>t</w:t>
      </w:r>
      <w:r w:rsidRPr="001C2F0A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 con ventajas fiscales</w:t>
      </w:r>
      <w:r w:rsidRPr="00E44C67">
        <w:rPr>
          <w:rFonts w:ascii="Century Gothic" w:eastAsia="Century Gothic" w:hAnsi="Century Gothic" w:cs="Century Gothic"/>
          <w:color w:val="auto"/>
          <w:lang w:val="es-ES"/>
        </w:rPr>
        <w:t xml:space="preserve"> sin aumentar el salario bruto. </w:t>
      </w:r>
      <w:r>
        <w:rPr>
          <w:rFonts w:ascii="Century Gothic" w:eastAsia="Century Gothic" w:hAnsi="Century Gothic" w:cs="Century Gothic"/>
          <w:color w:val="auto"/>
          <w:lang w:val="es-ES"/>
        </w:rPr>
        <w:t xml:space="preserve">Lo </w:t>
      </w:r>
      <w:r w:rsidR="001C2F0A">
        <w:rPr>
          <w:rFonts w:ascii="Century Gothic" w:eastAsia="Century Gothic" w:hAnsi="Century Gothic" w:cs="Century Gothic"/>
          <w:color w:val="auto"/>
          <w:lang w:val="es-ES"/>
        </w:rPr>
        <w:t>que,</w:t>
      </w:r>
      <w:r>
        <w:rPr>
          <w:rFonts w:ascii="Century Gothic" w:eastAsia="Century Gothic" w:hAnsi="Century Gothic" w:cs="Century Gothic"/>
          <w:color w:val="auto"/>
          <w:lang w:val="es-ES"/>
        </w:rPr>
        <w:t xml:space="preserve"> </w:t>
      </w:r>
      <w:r w:rsidRPr="001C2F0A">
        <w:rPr>
          <w:rFonts w:ascii="Century Gothic" w:eastAsia="Century Gothic" w:hAnsi="Century Gothic" w:cs="Century Gothic"/>
          <w:color w:val="auto"/>
          <w:lang w:val="es-ES"/>
        </w:rPr>
        <w:t>en términos anuales, puede suponer</w:t>
      </w:r>
      <w:r w:rsidRPr="00E44C67">
        <w:rPr>
          <w:rFonts w:ascii="Century Gothic" w:eastAsia="Century Gothic" w:hAnsi="Century Gothic" w:cs="Century Gothic"/>
          <w:color w:val="auto"/>
          <w:lang w:val="es-ES"/>
        </w:rPr>
        <w:t xml:space="preserve"> </w:t>
      </w:r>
      <w:r w:rsidRPr="00E66C6C">
        <w:rPr>
          <w:rFonts w:ascii="Century Gothic" w:eastAsia="Century Gothic" w:hAnsi="Century Gothic" w:cs="Century Gothic"/>
          <w:b/>
          <w:bCs/>
          <w:color w:val="auto"/>
          <w:lang w:val="es-ES"/>
        </w:rPr>
        <w:t>casi 700 €</w:t>
      </w:r>
      <w:r>
        <w:rPr>
          <w:rFonts w:ascii="Century Gothic" w:eastAsia="Century Gothic" w:hAnsi="Century Gothic" w:cs="Century Gothic"/>
          <w:color w:val="auto"/>
          <w:lang w:val="es-ES"/>
        </w:rPr>
        <w:t xml:space="preserve"> (</w:t>
      </w:r>
      <w:r w:rsidRPr="00E66C6C">
        <w:rPr>
          <w:rFonts w:ascii="Century Gothic" w:eastAsia="Century Gothic" w:hAnsi="Century Gothic" w:cs="Century Gothic"/>
          <w:color w:val="auto"/>
          <w:lang w:val="es-ES"/>
        </w:rPr>
        <w:t>concretamente</w:t>
      </w:r>
      <w:r w:rsidR="00E66C6C" w:rsidRPr="00770BBA">
        <w:rPr>
          <w:color w:val="12B76A"/>
          <w:sz w:val="72"/>
          <w:szCs w:val="72"/>
          <w:shd w:val="clear" w:color="auto" w:fill="FFFFFF"/>
          <w:lang w:val="es-ES"/>
        </w:rPr>
        <w:t xml:space="preserve"> </w:t>
      </w:r>
      <w:r w:rsidR="00E66C6C" w:rsidRPr="00770BBA">
        <w:rPr>
          <w:rFonts w:ascii="Century Gothic" w:eastAsia="Century Gothic" w:hAnsi="Century Gothic" w:cs="Century Gothic"/>
          <w:color w:val="auto"/>
          <w:lang w:val="es-ES"/>
        </w:rPr>
        <w:t>679,89 €)</w:t>
      </w:r>
      <w:r w:rsidRPr="00E44C67">
        <w:rPr>
          <w:rFonts w:ascii="Century Gothic" w:eastAsia="Century Gothic" w:hAnsi="Century Gothic" w:cs="Century Gothic"/>
          <w:color w:val="auto"/>
          <w:lang w:val="es-ES"/>
        </w:rPr>
        <w:t xml:space="preserve"> </w:t>
      </w:r>
      <w:r w:rsidR="005807E7" w:rsidRPr="00770BBA">
        <w:rPr>
          <w:rFonts w:ascii="Century Gothic" w:eastAsia="Century Gothic" w:hAnsi="Century Gothic" w:cs="Century Gothic"/>
          <w:b/>
          <w:bCs/>
          <w:color w:val="auto"/>
          <w:lang w:val="es-ES"/>
        </w:rPr>
        <w:t>en ahorro fiscal para un profesional con salario medio</w:t>
      </w:r>
      <w:r w:rsidR="005807E7" w:rsidRPr="00770BBA">
        <w:rPr>
          <w:rFonts w:ascii="Century Gothic" w:eastAsia="Century Gothic" w:hAnsi="Century Gothic" w:cs="Century Gothic"/>
          <w:color w:val="auto"/>
          <w:lang w:val="es-ES"/>
        </w:rPr>
        <w:t>, al tiempo que permite a la empresa mejorar su propuesta retributiva sin incrementar sus costes salariales</w:t>
      </w:r>
    </w:p>
    <w:p w14:paraId="021FFEDC" w14:textId="77777777" w:rsidR="00E44C67" w:rsidRPr="00F3437B" w:rsidRDefault="00E44C67" w:rsidP="00F3437B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54B13132" w14:textId="180401AF" w:rsidR="00E03607" w:rsidRDefault="00F3437B" w:rsidP="00D03656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F3437B">
        <w:rPr>
          <w:rFonts w:ascii="Century Gothic" w:eastAsia="Century Gothic" w:hAnsi="Century Gothic" w:cs="Century Gothic"/>
          <w:color w:val="auto"/>
          <w:lang w:val="es-ES"/>
        </w:rPr>
        <w:t xml:space="preserve">A ello se suma una </w:t>
      </w:r>
      <w:r w:rsidRPr="00F3437B">
        <w:rPr>
          <w:rFonts w:ascii="Century Gothic" w:eastAsia="Century Gothic" w:hAnsi="Century Gothic" w:cs="Century Gothic"/>
          <w:b/>
          <w:bCs/>
          <w:color w:val="auto"/>
          <w:lang w:val="es-ES"/>
        </w:rPr>
        <w:t>mejora en la experiencia digital y operativa</w:t>
      </w:r>
      <w:r w:rsidRPr="00F3437B">
        <w:rPr>
          <w:rFonts w:ascii="Century Gothic" w:eastAsia="Century Gothic" w:hAnsi="Century Gothic" w:cs="Century Gothic"/>
          <w:color w:val="auto"/>
          <w:lang w:val="es-ES"/>
        </w:rPr>
        <w:t xml:space="preserve">: la integración de subvención y retribución flexible en un único flujo de gestión, una mayor visibilidad del ahorro mediante nuevos </w:t>
      </w:r>
      <w:proofErr w:type="spellStart"/>
      <w:r w:rsidRPr="00F3437B">
        <w:rPr>
          <w:rFonts w:ascii="Century Gothic" w:eastAsia="Century Gothic" w:hAnsi="Century Gothic" w:cs="Century Gothic"/>
          <w:color w:val="auto"/>
          <w:lang w:val="es-ES"/>
        </w:rPr>
        <w:t>dashboards</w:t>
      </w:r>
      <w:proofErr w:type="spellEnd"/>
      <w:r w:rsidRPr="00F3437B">
        <w:rPr>
          <w:rFonts w:ascii="Century Gothic" w:eastAsia="Century Gothic" w:hAnsi="Century Gothic" w:cs="Century Gothic"/>
          <w:color w:val="auto"/>
          <w:lang w:val="es-ES"/>
        </w:rPr>
        <w:t xml:space="preserve"> y herramientas que permiten entender de forma clara el impacto económico de cada beneficio.</w:t>
      </w:r>
    </w:p>
    <w:p w14:paraId="517E8126" w14:textId="77777777" w:rsidR="007404EB" w:rsidRPr="007404EB" w:rsidRDefault="007404EB" w:rsidP="00D03656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4BCAA6A3" w14:textId="77777777" w:rsidR="00847878" w:rsidRDefault="00847878" w:rsidP="00847878">
      <w:p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  <w:r w:rsidRPr="00847878">
        <w:rPr>
          <w:rFonts w:ascii="Century Gothic" w:eastAsia="Century Gothic" w:hAnsi="Century Gothic" w:cs="Century Gothic"/>
          <w:b/>
          <w:bCs/>
          <w:color w:val="auto"/>
          <w:lang w:val="es-ES"/>
        </w:rPr>
        <w:t>Bienestar y experiencia: claves para maximizar el impacto</w:t>
      </w:r>
    </w:p>
    <w:p w14:paraId="5DECF4DC" w14:textId="77777777" w:rsidR="00BA20C4" w:rsidRPr="00847878" w:rsidRDefault="00BA20C4" w:rsidP="00847878">
      <w:p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</w:p>
    <w:p w14:paraId="2021B3CB" w14:textId="1DFABA94" w:rsidR="00841129" w:rsidRPr="00841129" w:rsidRDefault="00841129" w:rsidP="00841129">
      <w:p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  <w:r w:rsidRPr="00841129">
        <w:rPr>
          <w:rFonts w:ascii="Century Gothic" w:eastAsia="Century Gothic" w:hAnsi="Century Gothic" w:cs="Century Gothic"/>
          <w:color w:val="auto"/>
          <w:lang w:val="es-ES"/>
        </w:rPr>
        <w:t>El lanzamiento se enmarca en un contexto en el que el bienestar del talento adquiere un papel central. Dentro del 50,3 % que no se declara satisfecho con su salario</w:t>
      </w:r>
      <w:r w:rsidRPr="00841129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, </w:t>
      </w:r>
      <w:r>
        <w:rPr>
          <w:rFonts w:ascii="Century Gothic" w:eastAsia="Century Gothic" w:hAnsi="Century Gothic" w:cs="Century Gothic"/>
          <w:b/>
          <w:bCs/>
          <w:color w:val="auto"/>
          <w:lang w:val="es-ES"/>
        </w:rPr>
        <w:t>la mitad</w:t>
      </w:r>
      <w:r w:rsidRPr="00841129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 reconoce que las condiciones de bienestar laboral contribuyen a equilibrar esa percepción.</w:t>
      </w:r>
      <w:r w:rsidRPr="00841129">
        <w:rPr>
          <w:rFonts w:ascii="Century Gothic" w:eastAsia="Century Gothic" w:hAnsi="Century Gothic" w:cs="Century Gothic"/>
          <w:color w:val="auto"/>
          <w:lang w:val="es-ES"/>
        </w:rPr>
        <w:t xml:space="preserve"> Al mismo tiempo, </w:t>
      </w:r>
      <w:r w:rsidRPr="00841129">
        <w:rPr>
          <w:rFonts w:ascii="Century Gothic" w:eastAsia="Century Gothic" w:hAnsi="Century Gothic" w:cs="Century Gothic"/>
          <w:b/>
          <w:bCs/>
          <w:color w:val="auto"/>
          <w:lang w:val="es-ES"/>
        </w:rPr>
        <w:t>cerca del 64 % de los profesionales afirma que su trabajo impacta en su salud emocional.</w:t>
      </w:r>
    </w:p>
    <w:p w14:paraId="0682593B" w14:textId="77777777" w:rsidR="00841129" w:rsidRPr="00841129" w:rsidRDefault="00841129" w:rsidP="00841129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1C93FEF2" w14:textId="765F7925" w:rsidR="009D30A4" w:rsidRPr="009D30A4" w:rsidRDefault="009D30A4" w:rsidP="009D30A4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9D30A4">
        <w:rPr>
          <w:rFonts w:ascii="Century Gothic" w:eastAsia="Century Gothic" w:hAnsi="Century Gothic" w:cs="Century Gothic"/>
          <w:color w:val="auto"/>
          <w:lang w:val="es-ES"/>
        </w:rPr>
        <w:t xml:space="preserve">Para dar respuesta a esta realidad, Edenred amplía su propuesta con </w:t>
      </w:r>
      <w:r w:rsidRPr="009D30A4">
        <w:rPr>
          <w:rFonts w:ascii="Century Gothic" w:eastAsia="Century Gothic" w:hAnsi="Century Gothic" w:cs="Century Gothic"/>
          <w:b/>
          <w:bCs/>
          <w:color w:val="auto"/>
          <w:lang w:val="es-ES"/>
        </w:rPr>
        <w:t>nuevas soluciones y mejoras dentro de su plataforma</w:t>
      </w:r>
      <w:r w:rsidRPr="009D30A4">
        <w:rPr>
          <w:rFonts w:ascii="Century Gothic" w:eastAsia="Century Gothic" w:hAnsi="Century Gothic" w:cs="Century Gothic"/>
          <w:color w:val="auto"/>
          <w:lang w:val="es-ES"/>
        </w:rPr>
        <w:t xml:space="preserve"> que las empresas pueden integrar en su paquete de beneficios. Por un lado, la </w:t>
      </w:r>
      <w:r w:rsidRPr="009D30A4">
        <w:rPr>
          <w:rFonts w:ascii="Century Gothic" w:eastAsia="Century Gothic" w:hAnsi="Century Gothic" w:cs="Century Gothic"/>
          <w:b/>
          <w:bCs/>
          <w:color w:val="auto"/>
          <w:lang w:val="es-ES"/>
        </w:rPr>
        <w:t>integración con Savia</w:t>
      </w:r>
      <w:r w:rsidRPr="009D30A4">
        <w:rPr>
          <w:rFonts w:ascii="Century Gothic" w:eastAsia="Century Gothic" w:hAnsi="Century Gothic" w:cs="Century Gothic"/>
          <w:color w:val="auto"/>
          <w:lang w:val="es-ES"/>
        </w:rPr>
        <w:t xml:space="preserve">, plataforma de salud digital de Mapfre, permite </w:t>
      </w:r>
      <w:r w:rsidRPr="009D30A4">
        <w:rPr>
          <w:rFonts w:ascii="Century Gothic" w:eastAsia="Century Gothic" w:hAnsi="Century Gothic" w:cs="Century Gothic"/>
          <w:b/>
          <w:bCs/>
          <w:color w:val="auto"/>
          <w:lang w:val="es-ES"/>
        </w:rPr>
        <w:t>incorporar servicios de bienestar vinculados a la salud emocional y nutricional</w:t>
      </w:r>
      <w:r w:rsidRPr="009D30A4">
        <w:rPr>
          <w:rFonts w:ascii="Century Gothic" w:eastAsia="Century Gothic" w:hAnsi="Century Gothic" w:cs="Century Gothic"/>
          <w:color w:val="auto"/>
          <w:lang w:val="es-ES"/>
        </w:rPr>
        <w:t xml:space="preserve"> directamente en el catálogo, incluyendo </w:t>
      </w:r>
      <w:r w:rsidR="00243066" w:rsidRPr="00770BBA">
        <w:rPr>
          <w:rFonts w:ascii="Century Gothic" w:eastAsia="Century Gothic" w:hAnsi="Century Gothic" w:cs="Century Gothic"/>
          <w:b/>
          <w:bCs/>
          <w:color w:val="auto"/>
          <w:lang w:val="es-ES"/>
        </w:rPr>
        <w:t>atención médica especializada, apoyo psicológico, nutrición, bienestar físico y emocional, gimnasio online, telemedicina y chat veterinario</w:t>
      </w:r>
      <w:r w:rsidRPr="009D30A4">
        <w:rPr>
          <w:rFonts w:ascii="Century Gothic" w:eastAsia="Century Gothic" w:hAnsi="Century Gothic" w:cs="Century Gothic"/>
          <w:color w:val="auto"/>
          <w:lang w:val="es-ES"/>
        </w:rPr>
        <w:t>, contribuyendo a abordar la salud de los equipos de forma integral.</w:t>
      </w:r>
    </w:p>
    <w:p w14:paraId="06C0760A" w14:textId="77777777" w:rsidR="00145926" w:rsidRPr="009D30A4" w:rsidRDefault="00145926" w:rsidP="00841129">
      <w:pPr>
        <w:jc w:val="both"/>
        <w:rPr>
          <w:rFonts w:ascii="Century Gothic" w:eastAsia="Century Gothic" w:hAnsi="Century Gothic" w:cs="Century Gothic"/>
          <w:color w:val="auto"/>
          <w:sz w:val="16"/>
          <w:szCs w:val="16"/>
          <w:lang w:val="es-ES"/>
        </w:rPr>
      </w:pPr>
    </w:p>
    <w:p w14:paraId="0E2ECE3F" w14:textId="77A5CAC5" w:rsidR="00841129" w:rsidRPr="00841129" w:rsidRDefault="00841129" w:rsidP="00841129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841129">
        <w:rPr>
          <w:rFonts w:ascii="Century Gothic" w:eastAsia="Century Gothic" w:hAnsi="Century Gothic" w:cs="Century Gothic"/>
          <w:color w:val="auto"/>
          <w:lang w:val="es-ES"/>
        </w:rPr>
        <w:t>Por otro</w:t>
      </w:r>
      <w:r w:rsidR="00550C3F">
        <w:rPr>
          <w:rFonts w:ascii="Century Gothic" w:eastAsia="Century Gothic" w:hAnsi="Century Gothic" w:cs="Century Gothic"/>
          <w:color w:val="auto"/>
          <w:lang w:val="es-ES"/>
        </w:rPr>
        <w:t xml:space="preserve">, </w:t>
      </w:r>
      <w:r w:rsidR="00F2424C" w:rsidRPr="00770BBA">
        <w:rPr>
          <w:rFonts w:ascii="Century Gothic" w:eastAsia="Century Gothic" w:hAnsi="Century Gothic" w:cs="Century Gothic"/>
          <w:color w:val="auto"/>
          <w:lang w:val="es-ES"/>
        </w:rPr>
        <w:t xml:space="preserve">evoluciona su </w:t>
      </w:r>
      <w:r w:rsidR="00F2424C" w:rsidRPr="00770BBA">
        <w:rPr>
          <w:rFonts w:ascii="Century Gothic" w:eastAsia="Century Gothic" w:hAnsi="Century Gothic" w:cs="Century Gothic"/>
          <w:b/>
          <w:bCs/>
          <w:color w:val="auto"/>
          <w:lang w:val="es-ES"/>
        </w:rPr>
        <w:t>Centro de Comunicaciones</w:t>
      </w:r>
      <w:r w:rsidR="00F2424C" w:rsidRPr="00770BBA">
        <w:rPr>
          <w:rFonts w:ascii="Century Gothic" w:eastAsia="Century Gothic" w:hAnsi="Century Gothic" w:cs="Century Gothic"/>
          <w:color w:val="auto"/>
          <w:lang w:val="es-ES"/>
        </w:rPr>
        <w:t xml:space="preserve"> para</w:t>
      </w:r>
      <w:r w:rsidRPr="00841129">
        <w:rPr>
          <w:rFonts w:ascii="Century Gothic" w:eastAsia="Century Gothic" w:hAnsi="Century Gothic" w:cs="Century Gothic"/>
          <w:color w:val="auto"/>
          <w:lang w:val="es-ES"/>
        </w:rPr>
        <w:t xml:space="preserve"> </w:t>
      </w:r>
      <w:r w:rsidRPr="00841129">
        <w:rPr>
          <w:rFonts w:ascii="Century Gothic" w:eastAsia="Century Gothic" w:hAnsi="Century Gothic" w:cs="Century Gothic"/>
          <w:b/>
          <w:bCs/>
          <w:color w:val="auto"/>
          <w:lang w:val="es-ES"/>
        </w:rPr>
        <w:t>mejorar la comunicación interna de los planes de beneficios</w:t>
      </w:r>
      <w:r w:rsidRPr="00841129">
        <w:rPr>
          <w:rFonts w:ascii="Century Gothic" w:eastAsia="Century Gothic" w:hAnsi="Century Gothic" w:cs="Century Gothic"/>
          <w:color w:val="auto"/>
          <w:lang w:val="es-ES"/>
        </w:rPr>
        <w:t xml:space="preserve">. Esta </w:t>
      </w:r>
      <w:r w:rsidR="00C40901">
        <w:rPr>
          <w:rFonts w:ascii="Century Gothic" w:eastAsia="Century Gothic" w:hAnsi="Century Gothic" w:cs="Century Gothic"/>
          <w:color w:val="auto"/>
          <w:lang w:val="es-ES"/>
        </w:rPr>
        <w:t>nueva versión</w:t>
      </w:r>
      <w:r w:rsidR="00F2424C">
        <w:rPr>
          <w:rFonts w:ascii="Century Gothic" w:eastAsia="Century Gothic" w:hAnsi="Century Gothic" w:cs="Century Gothic"/>
          <w:color w:val="auto"/>
          <w:lang w:val="es-ES"/>
        </w:rPr>
        <w:t xml:space="preserve"> </w:t>
      </w:r>
      <w:r w:rsidRPr="00841129">
        <w:rPr>
          <w:rFonts w:ascii="Century Gothic" w:eastAsia="Century Gothic" w:hAnsi="Century Gothic" w:cs="Century Gothic"/>
          <w:color w:val="auto"/>
          <w:lang w:val="es-ES"/>
        </w:rPr>
        <w:t xml:space="preserve">permite </w:t>
      </w:r>
      <w:r w:rsidRPr="00012AC7">
        <w:rPr>
          <w:rFonts w:ascii="Century Gothic" w:eastAsia="Century Gothic" w:hAnsi="Century Gothic" w:cs="Century Gothic"/>
          <w:b/>
          <w:bCs/>
          <w:color w:val="auto"/>
          <w:lang w:val="es-ES"/>
        </w:rPr>
        <w:t>segmentar y personalizar los mensajes</w:t>
      </w:r>
      <w:r w:rsidRPr="00841129">
        <w:rPr>
          <w:rFonts w:ascii="Century Gothic" w:eastAsia="Century Gothic" w:hAnsi="Century Gothic" w:cs="Century Gothic"/>
          <w:color w:val="auto"/>
          <w:lang w:val="es-ES"/>
        </w:rPr>
        <w:t>, facilitando que los equipos comprendan mejor las opciones disponibles y maximicen el uso de sus beneficios</w:t>
      </w:r>
      <w:r w:rsidR="003D22F1">
        <w:rPr>
          <w:rFonts w:ascii="Century Gothic" w:eastAsia="Century Gothic" w:hAnsi="Century Gothic" w:cs="Century Gothic"/>
          <w:color w:val="auto"/>
          <w:lang w:val="es-ES"/>
        </w:rPr>
        <w:t>.</w:t>
      </w:r>
    </w:p>
    <w:p w14:paraId="7CB4DCDD" w14:textId="77777777" w:rsidR="005763AD" w:rsidRPr="005763AD" w:rsidRDefault="005763AD" w:rsidP="005763AD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28EDE7DA" w14:textId="77777777" w:rsidR="00563FF4" w:rsidRPr="00563FF4" w:rsidRDefault="00563FF4" w:rsidP="00563FF4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563FF4">
        <w:rPr>
          <w:rFonts w:ascii="Century Gothic" w:eastAsia="Century Gothic" w:hAnsi="Century Gothic" w:cs="Century Gothic"/>
          <w:i/>
          <w:iCs/>
          <w:color w:val="auto"/>
          <w:lang w:val="es-ES"/>
        </w:rPr>
        <w:t>“En un mercado laboral marcado por la incertidumbre, la presión económica y el cambio en las expectativas del talento, las empresas tienen el reto de redefinir su propuesta de valor. El modelo mixto responde a esta necesidad, avanzando hacia un sistema más flexible, personalizado y sostenible, en el que el salario deja de ser el único eje y los beneficios adquieren un papel cada vez más estratégico”</w:t>
      </w:r>
      <w:r w:rsidRPr="00563FF4">
        <w:rPr>
          <w:rFonts w:ascii="Century Gothic" w:eastAsia="Century Gothic" w:hAnsi="Century Gothic" w:cs="Century Gothic"/>
          <w:color w:val="auto"/>
          <w:lang w:val="es-ES"/>
        </w:rPr>
        <w:t xml:space="preserve">, </w:t>
      </w:r>
      <w:r w:rsidRPr="00563FF4">
        <w:rPr>
          <w:rFonts w:ascii="Century Gothic" w:eastAsia="Century Gothic" w:hAnsi="Century Gothic" w:cs="Century Gothic"/>
          <w:b/>
          <w:bCs/>
          <w:color w:val="auto"/>
          <w:lang w:val="es-ES"/>
        </w:rPr>
        <w:t>señala Manuel Asla, director de Marketing, Comunicación y Producto de Edenred España.</w:t>
      </w:r>
    </w:p>
    <w:p w14:paraId="0B8E3712" w14:textId="77777777" w:rsidR="005763AD" w:rsidRPr="001F4EB2" w:rsidRDefault="005763AD" w:rsidP="001F4EB2">
      <w:pPr>
        <w:jc w:val="both"/>
        <w:rPr>
          <w:rFonts w:eastAsia="Century Gothic" w:cs="Century Gothic"/>
          <w:b/>
          <w:bCs/>
          <w:lang w:val="es-ES"/>
        </w:rPr>
      </w:pPr>
    </w:p>
    <w:p w14:paraId="2DD9AE04" w14:textId="0A91D3AA" w:rsidR="00A72075" w:rsidRDefault="00A72075" w:rsidP="00D03656">
      <w:pPr>
        <w:jc w:val="both"/>
        <w:rPr>
          <w:lang w:val="es-ES"/>
        </w:rPr>
      </w:pPr>
    </w:p>
    <w:p w14:paraId="6C804E5E" w14:textId="77777777" w:rsidR="008361D8" w:rsidRDefault="008361D8" w:rsidP="00D03656">
      <w:pPr>
        <w:jc w:val="both"/>
        <w:rPr>
          <w:lang w:val="es-ES"/>
        </w:rPr>
      </w:pPr>
    </w:p>
    <w:p w14:paraId="149CD50D" w14:textId="77777777" w:rsidR="008361D8" w:rsidRDefault="008361D8" w:rsidP="00D03656">
      <w:pPr>
        <w:jc w:val="both"/>
        <w:rPr>
          <w:lang w:val="es-ES"/>
        </w:rPr>
      </w:pPr>
    </w:p>
    <w:p w14:paraId="7F4F629E" w14:textId="77777777" w:rsidR="008361D8" w:rsidRPr="00C2742B" w:rsidRDefault="008361D8" w:rsidP="00D03656">
      <w:pPr>
        <w:jc w:val="both"/>
        <w:rPr>
          <w:lang w:val="es-ES"/>
        </w:rPr>
      </w:pPr>
    </w:p>
    <w:p w14:paraId="51E74DA8" w14:textId="49D88DA3" w:rsidR="0034131E" w:rsidRPr="00833D4F" w:rsidRDefault="00E660F9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  <w:r w:rsidRPr="00833D4F">
        <w:rPr>
          <w:rFonts w:ascii="Century Gothic" w:eastAsia="Century Gothic" w:hAnsi="Century Gothic" w:cs="Century Gothic"/>
          <w:color w:val="000000"/>
          <w:lang w:val="es-ES"/>
        </w:rPr>
        <w:t>▬▬</w:t>
      </w:r>
    </w:p>
    <w:p w14:paraId="319B1527" w14:textId="77777777" w:rsidR="0034131E" w:rsidRPr="00833D4F" w:rsidRDefault="0034131E">
      <w:pPr>
        <w:jc w:val="both"/>
        <w:rPr>
          <w:rFonts w:ascii="Century Gothic" w:eastAsia="Century Gothic" w:hAnsi="Century Gothic" w:cs="Century Gothic"/>
          <w:lang w:val="es-ES"/>
        </w:rPr>
      </w:pPr>
    </w:p>
    <w:p w14:paraId="25873AF5" w14:textId="77777777" w:rsidR="0034131E" w:rsidRPr="00833D4F" w:rsidRDefault="00E660F9">
      <w:pPr>
        <w:jc w:val="both"/>
        <w:rPr>
          <w:lang w:val="es-ES"/>
        </w:rPr>
      </w:pPr>
      <w:r w:rsidRPr="00833D4F">
        <w:rPr>
          <w:rFonts w:ascii="Century Gothic" w:eastAsia="Century Gothic" w:hAnsi="Century Gothic" w:cs="Century Gothic"/>
          <w:b/>
          <w:color w:val="000000"/>
          <w:sz w:val="18"/>
          <w:szCs w:val="18"/>
          <w:lang w:val="es-ES"/>
        </w:rPr>
        <w:t>Sobre Edenred</w:t>
      </w:r>
    </w:p>
    <w:p w14:paraId="1913A89B" w14:textId="35E52805" w:rsidR="10C8913A" w:rsidRDefault="10C8913A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lang w:val="es-ES"/>
        </w:rPr>
      </w:pPr>
    </w:p>
    <w:p w14:paraId="42281989" w14:textId="441184D9" w:rsidR="30A0C5C1" w:rsidRDefault="30A0C5C1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  <w:lang w:val="es-ES"/>
        </w:rPr>
        <w:t>Edenred</w:t>
      </w: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es líder </w:t>
      </w:r>
      <w:r w:rsidRPr="00770BB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global en </w:t>
      </w:r>
      <w:proofErr w:type="spellStart"/>
      <w:r w:rsidRPr="00770BB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Benefits</w:t>
      </w:r>
      <w:proofErr w:type="spellEnd"/>
      <w:r w:rsidRPr="00770BB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&amp; </w:t>
      </w:r>
      <w:proofErr w:type="spellStart"/>
      <w:r w:rsidRPr="00770BB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Engagement</w:t>
      </w:r>
      <w:proofErr w:type="spellEnd"/>
      <w:r w:rsidRPr="00770BB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y Movilidad.</w:t>
      </w:r>
    </w:p>
    <w:p w14:paraId="55B811DA" w14:textId="1C38D9F9" w:rsidR="10C8913A" w:rsidRDefault="10C8913A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18A2EBB6" w14:textId="54F2D83D" w:rsidR="30A0C5C1" w:rsidRDefault="30A0C5C1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Con más de 1 millón de empresas cliente en 44 países, la plataforma de Edenred ofrece a más de 60 millones de usuarios acceso a los servicios y productos de más de 2 millones de comercios asociados.</w:t>
      </w:r>
    </w:p>
    <w:p w14:paraId="77B09E63" w14:textId="02CE97C1" w:rsidR="10C8913A" w:rsidRDefault="10C8913A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54A0712F" w14:textId="0256EC9E" w:rsidR="30A0C5C1" w:rsidRDefault="30A0C5C1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Edenred proporciona soluciones digitales dirigidas a profesionales (vales de comida, transporte al trabajo, tarjetas regalo, bienestar, incentivos y ofertas preferentes), a gestores de flotas (soluciones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multienergía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que incluyen recarga de vehículos eléctricos, servicios de mantenimiento, peajes y estacionamiento) y a pagos corporativos (tarjetas virtuales).</w:t>
      </w:r>
    </w:p>
    <w:p w14:paraId="7603B261" w14:textId="09ED7591" w:rsidR="10C8913A" w:rsidRDefault="10C8913A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087302A5" w14:textId="6C56C94B" w:rsidR="30A0C5C1" w:rsidRDefault="30A0C5C1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Guiadas por el propósito del Grupo, </w:t>
      </w:r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>“</w:t>
      </w:r>
      <w:proofErr w:type="spellStart"/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>Enrich</w:t>
      </w:r>
      <w:proofErr w:type="spellEnd"/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 xml:space="preserve"> </w:t>
      </w:r>
      <w:proofErr w:type="spellStart"/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>connections</w:t>
      </w:r>
      <w:proofErr w:type="spellEnd"/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 xml:space="preserve">. For </w:t>
      </w:r>
      <w:proofErr w:type="spellStart"/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>good</w:t>
      </w:r>
      <w:proofErr w:type="spellEnd"/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>.”</w:t>
      </w: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, estas soluciones mejoran el bienestar y el poder adquisitivo de los profesionales y simplifican la vida de los conductores profesionales. Asimismo, fomentan el acceso a una alimentación más saludable, a productos más respetuosos con el medioambiente y a una movilidad más sostenible. Además, contribuyen a mejorar la atractividad y la eficiencia de las empresas, dinamizando al mismo tiempo el mercado laboral y las economías locales.</w:t>
      </w:r>
    </w:p>
    <w:p w14:paraId="298965CF" w14:textId="0AB01087" w:rsidR="10C8913A" w:rsidRDefault="10C8913A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3916B0C3" w14:textId="093A653C" w:rsidR="30A0C5C1" w:rsidRDefault="30A0C5C1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Los 12.000 profesionales de Edenred trabajan cada día para hacer del mundo laboral un ecosistema más conectado, seguro, eficiente y responsable.</w:t>
      </w:r>
    </w:p>
    <w:p w14:paraId="538E00BD" w14:textId="3DBFDFD0" w:rsidR="10C8913A" w:rsidRDefault="10C8913A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3E8034FB" w14:textId="11C5D08F" w:rsidR="30A0C5C1" w:rsidRDefault="30A0C5C1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En 2025, gracias a su plataforma tecnológica única, el Grupo generó un volumen de negocio de 49.000 millones de euros, principalmente a través de aplicaciones móviles, plataformas online y tarjetas.</w:t>
      </w:r>
    </w:p>
    <w:p w14:paraId="7E24578C" w14:textId="7B42CFD6" w:rsidR="10C8913A" w:rsidRDefault="10C8913A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031F0800" w14:textId="69BA25A8" w:rsidR="30A0C5C1" w:rsidRDefault="30A0C5C1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Edenred cotiza en la Bolsa de París (Euronext Paris) y forma parte de los siguientes índices: CAC Next 20, CAC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Large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60, Euronext 100, Euronext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Tech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Leaders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, FTSE4Good, DJSI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Europe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Index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y DJSI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World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Index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.</w:t>
      </w:r>
    </w:p>
    <w:p w14:paraId="66CEAA30" w14:textId="6CA01771" w:rsidR="10C8913A" w:rsidRDefault="10C8913A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53DB0FAF" w14:textId="01F91401" w:rsidR="30A0C5C1" w:rsidRDefault="30A0C5C1" w:rsidP="10C8913A">
      <w:pPr>
        <w:spacing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6"/>
          <w:szCs w:val="16"/>
          <w:lang w:val="es-ES"/>
        </w:rPr>
      </w:pPr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6"/>
          <w:szCs w:val="16"/>
          <w:lang w:val="es-ES"/>
        </w:rPr>
        <w:t>Los logotipos y otras marcas mencionadas y destacadas en este comunicado de prensa son marcas registradas de Edenred S.E., sus filiales o terceros. No pueden utilizarse con fines comerciales sin el consentimiento previo por escrito de sus propietarios.</w:t>
      </w:r>
    </w:p>
    <w:p w14:paraId="631457E5" w14:textId="732368D7" w:rsidR="10C8913A" w:rsidRDefault="10C8913A" w:rsidP="10C8913A">
      <w:pPr>
        <w:spacing w:line="240" w:lineRule="auto"/>
        <w:jc w:val="both"/>
        <w:rPr>
          <w:rFonts w:ascii="Century Gothic" w:eastAsia="Century Gothic" w:hAnsi="Century Gothic" w:cs="Century Gothic"/>
          <w:i/>
          <w:iCs/>
          <w:color w:val="000000" w:themeColor="text1"/>
          <w:sz w:val="16"/>
          <w:szCs w:val="16"/>
          <w:lang w:val="es-ES"/>
        </w:rPr>
      </w:pPr>
    </w:p>
    <w:p w14:paraId="6E54591E" w14:textId="5607B92C" w:rsidR="0034131E" w:rsidRPr="00833D4F" w:rsidRDefault="0034131E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34EBC2CB" w14:textId="77777777" w:rsidR="0034131E" w:rsidRDefault="00E660F9">
      <w:pPr>
        <w:spacing w:line="254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CONTACTO</w:t>
      </w:r>
    </w:p>
    <w:tbl>
      <w:tblPr>
        <w:tblStyle w:val="a"/>
        <w:tblW w:w="9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03"/>
        <w:gridCol w:w="4552"/>
      </w:tblGrid>
      <w:tr w:rsidR="0034131E" w14:paraId="10E87855" w14:textId="77777777">
        <w:trPr>
          <w:trHeight w:val="1725"/>
        </w:trPr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CB8FE" w14:textId="77777777" w:rsidR="0034131E" w:rsidRDefault="0034131E">
            <w:pPr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</w:p>
          <w:p w14:paraId="3E71BA8C" w14:textId="77777777" w:rsidR="0034131E" w:rsidRDefault="00E660F9">
            <w:pPr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  <w:t>Edenred</w:t>
            </w:r>
          </w:p>
          <w:p w14:paraId="2C0E5145" w14:textId="77777777" w:rsidR="0034131E" w:rsidRDefault="00E660F9">
            <w:pPr>
              <w:jc w:val="both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Alejandro Delgado Sánchez</w:t>
            </w:r>
          </w:p>
          <w:p w14:paraId="3C5097B0" w14:textId="77777777" w:rsidR="0034131E" w:rsidRDefault="00E660F9">
            <w:pPr>
              <w:jc w:val="both"/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Communications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Specialist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 </w:t>
            </w:r>
          </w:p>
          <w:p w14:paraId="7AD809AF" w14:textId="77777777" w:rsidR="0034131E" w:rsidRDefault="0034131E">
            <w:pPr>
              <w:jc w:val="both"/>
            </w:pPr>
            <w:hyperlink r:id="rId9">
              <w:r>
                <w:rPr>
                  <w:rFonts w:ascii="Century Gothic" w:eastAsia="Century Gothic" w:hAnsi="Century Gothic" w:cs="Century Gothic"/>
                  <w:color w:val="000000"/>
                  <w:sz w:val="16"/>
                  <w:szCs w:val="16"/>
                </w:rPr>
                <w:t>alejandro.delgadosanchez@edenred.com</w:t>
              </w:r>
            </w:hyperlink>
          </w:p>
          <w:p w14:paraId="4CF87B1B" w14:textId="77777777" w:rsidR="0034131E" w:rsidRDefault="0034131E">
            <w:pPr>
              <w:spacing w:line="251" w:lineRule="auto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</w:p>
        </w:tc>
        <w:tc>
          <w:tcPr>
            <w:tcW w:w="4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79073" w14:textId="77777777" w:rsidR="0034131E" w:rsidRDefault="0034131E">
            <w:pPr>
              <w:spacing w:line="251" w:lineRule="auto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</w:p>
          <w:p w14:paraId="188D7D39" w14:textId="77777777" w:rsidR="0034131E" w:rsidRDefault="00E660F9">
            <w:pPr>
              <w:spacing w:line="251" w:lineRule="auto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  <w:t xml:space="preserve">Newlink Spain </w:t>
            </w:r>
          </w:p>
          <w:p w14:paraId="0709A77C" w14:textId="77777777" w:rsidR="0034131E" w:rsidRDefault="00E660F9">
            <w:pPr>
              <w:spacing w:line="251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Marina Gascón | Patricia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Vizcaíno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 | Sara García</w:t>
            </w:r>
          </w:p>
          <w:p w14:paraId="186B073B" w14:textId="77777777" w:rsidR="0034131E" w:rsidRDefault="00E660F9">
            <w:pPr>
              <w:spacing w:line="251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651 96 34 59</w:t>
            </w:r>
          </w:p>
          <w:p w14:paraId="5D012B56" w14:textId="77777777" w:rsidR="0034131E" w:rsidRDefault="0034131E">
            <w:pPr>
              <w:spacing w:line="251" w:lineRule="auto"/>
            </w:pPr>
            <w:hyperlink r:id="rId10">
              <w:r>
                <w:rPr>
                  <w:rFonts w:ascii="Century Gothic" w:eastAsia="Century Gothic" w:hAnsi="Century Gothic" w:cs="Century Gothic"/>
                  <w:color w:val="000000"/>
                  <w:sz w:val="16"/>
                  <w:szCs w:val="16"/>
                </w:rPr>
                <w:t>equipo.edenred@newlink-group.com</w:t>
              </w:r>
            </w:hyperlink>
          </w:p>
        </w:tc>
      </w:tr>
    </w:tbl>
    <w:p w14:paraId="71CD1086" w14:textId="77777777" w:rsidR="0034131E" w:rsidRDefault="0034131E">
      <w:pPr>
        <w:ind w:left="141"/>
        <w:rPr>
          <w:color w:val="002060"/>
        </w:rPr>
      </w:pPr>
    </w:p>
    <w:p w14:paraId="1430A93F" w14:textId="77777777" w:rsidR="00E67A4D" w:rsidRDefault="00E67A4D" w:rsidP="00E67A4D">
      <w:pPr>
        <w:tabs>
          <w:tab w:val="left" w:pos="2760"/>
        </w:tabs>
        <w:rPr>
          <w:rFonts w:ascii="Century Gothic" w:hAnsi="Century Gothic"/>
          <w:b/>
          <w:bCs/>
          <w:color w:val="auto"/>
          <w:sz w:val="24"/>
          <w:szCs w:val="24"/>
          <w:lang w:val="es-ES"/>
        </w:rPr>
      </w:pPr>
      <w:r>
        <w:rPr>
          <w:rFonts w:ascii="Century Gothic" w:hAnsi="Century Gothic"/>
          <w:b/>
          <w:bCs/>
          <w:color w:val="auto"/>
          <w:sz w:val="24"/>
          <w:szCs w:val="24"/>
          <w:lang w:val="es-ES"/>
        </w:rPr>
        <w:t>PUBLICACIONES RELACIONADAS</w:t>
      </w:r>
    </w:p>
    <w:p w14:paraId="29D98C23" w14:textId="77777777" w:rsidR="00E67A4D" w:rsidRDefault="00E67A4D" w:rsidP="00E67A4D">
      <w:pPr>
        <w:tabs>
          <w:tab w:val="left" w:pos="2760"/>
        </w:tabs>
        <w:rPr>
          <w:rFonts w:ascii="Century Gothic" w:hAnsi="Century Gothic"/>
          <w:color w:val="auto"/>
          <w:lang w:val="es-ES"/>
        </w:rPr>
      </w:pPr>
    </w:p>
    <w:p w14:paraId="19E1E1AD" w14:textId="77777777" w:rsidR="00E67A4D" w:rsidRDefault="00E67A4D" w:rsidP="00E67A4D">
      <w:pPr>
        <w:tabs>
          <w:tab w:val="left" w:pos="2760"/>
        </w:tabs>
        <w:rPr>
          <w:rFonts w:ascii="Century Gothic" w:hAnsi="Century Gothic"/>
          <w:color w:val="auto"/>
          <w:lang w:val="es-ES"/>
        </w:rPr>
      </w:pPr>
      <w:r>
        <w:rPr>
          <w:rFonts w:ascii="Century Gothic" w:hAnsi="Century Gothic"/>
          <w:color w:val="auto"/>
          <w:lang w:val="es-ES"/>
        </w:rPr>
        <w:t>Si deseas ampliar información sobre este comunicado, puedes consultar las siguientes publicaciones:</w:t>
      </w:r>
    </w:p>
    <w:p w14:paraId="099B5DDA" w14:textId="77777777" w:rsidR="00E67A4D" w:rsidRDefault="00E67A4D" w:rsidP="00E67A4D">
      <w:pPr>
        <w:tabs>
          <w:tab w:val="left" w:pos="2760"/>
        </w:tabs>
        <w:rPr>
          <w:rFonts w:ascii="Century Gothic" w:hAnsi="Century Gothic"/>
          <w:color w:val="auto"/>
          <w:lang w:val="es-ES"/>
        </w:rPr>
      </w:pPr>
    </w:p>
    <w:p w14:paraId="79162AE2" w14:textId="77777777" w:rsidR="00447A18" w:rsidRPr="00447A18" w:rsidRDefault="00447A18" w:rsidP="00447A18">
      <w:pPr>
        <w:pStyle w:val="Prrafodelista"/>
        <w:rPr>
          <w:rFonts w:ascii="Century Gothic" w:hAnsi="Century Gothic"/>
          <w:color w:val="0000FF"/>
          <w:u w:val="single"/>
          <w:lang w:val="es-ES" w:eastAsia="zh-TW"/>
        </w:rPr>
      </w:pPr>
    </w:p>
    <w:p w14:paraId="32EDF358" w14:textId="77777777" w:rsidR="00447A18" w:rsidRPr="00850816" w:rsidRDefault="00447A18" w:rsidP="00447A18">
      <w:pPr>
        <w:pStyle w:val="Prrafodelista"/>
        <w:numPr>
          <w:ilvl w:val="0"/>
          <w:numId w:val="11"/>
        </w:numPr>
        <w:suppressAutoHyphens w:val="0"/>
        <w:spacing w:line="240" w:lineRule="auto"/>
        <w:contextualSpacing w:val="0"/>
        <w:rPr>
          <w:rFonts w:ascii="Century Gothic" w:hAnsi="Century Gothic"/>
          <w:lang w:val="es-ES" w:eastAsia="zh-TW"/>
        </w:rPr>
      </w:pPr>
      <w:r w:rsidRPr="00850816">
        <w:rPr>
          <w:rFonts w:ascii="Century Gothic" w:hAnsi="Century Gothic" w:cs="Calibri"/>
          <w:b/>
          <w:bCs/>
          <w:color w:val="000000"/>
          <w:lang w:val="es-ES"/>
        </w:rPr>
        <w:t xml:space="preserve">RRHH </w:t>
      </w:r>
      <w:proofErr w:type="spellStart"/>
      <w:r w:rsidRPr="00850816">
        <w:rPr>
          <w:rFonts w:ascii="Century Gothic" w:hAnsi="Century Gothic" w:cs="Calibri"/>
          <w:b/>
          <w:bCs/>
          <w:color w:val="000000"/>
          <w:lang w:val="es-ES"/>
        </w:rPr>
        <w:t>Press</w:t>
      </w:r>
      <w:proofErr w:type="spellEnd"/>
      <w:r w:rsidRPr="00850816">
        <w:rPr>
          <w:rFonts w:ascii="Century Gothic" w:hAnsi="Century Gothic" w:cs="Calibri"/>
          <w:color w:val="000000"/>
          <w:lang w:val="es-ES"/>
        </w:rPr>
        <w:t xml:space="preserve">. </w:t>
      </w:r>
      <w:hyperlink r:id="rId11" w:tgtFrame="_blank" w:history="1">
        <w:r w:rsidRPr="00850816">
          <w:rPr>
            <w:rStyle w:val="Hipervnculo"/>
            <w:rFonts w:ascii="Century Gothic" w:hAnsi="Century Gothic" w:cs="Calibri"/>
            <w:lang w:val="es-ES"/>
          </w:rPr>
          <w:t>Edenred lanza un modelo mixto de beneficios con hasta 700 euros de ahorro fiscal al año   </w:t>
        </w:r>
      </w:hyperlink>
    </w:p>
    <w:p w14:paraId="6D9D58D3" w14:textId="77777777" w:rsidR="00447A18" w:rsidRPr="00850816" w:rsidRDefault="00447A18" w:rsidP="00447A18">
      <w:pPr>
        <w:pStyle w:val="Prrafodelista"/>
        <w:numPr>
          <w:ilvl w:val="0"/>
          <w:numId w:val="11"/>
        </w:numPr>
        <w:suppressAutoHyphens w:val="0"/>
        <w:spacing w:line="240" w:lineRule="auto"/>
        <w:contextualSpacing w:val="0"/>
        <w:rPr>
          <w:rFonts w:ascii="Century Gothic" w:hAnsi="Century Gothic" w:cs="Calibri"/>
          <w:lang w:val="es-ES"/>
        </w:rPr>
      </w:pPr>
      <w:r w:rsidRPr="00850816">
        <w:rPr>
          <w:rFonts w:ascii="Century Gothic" w:hAnsi="Century Gothic" w:cs="Calibri"/>
          <w:b/>
          <w:bCs/>
          <w:color w:val="000000"/>
          <w:lang w:val="es-ES"/>
        </w:rPr>
        <w:lastRenderedPageBreak/>
        <w:t>Info Negocios Madrid</w:t>
      </w:r>
      <w:r w:rsidRPr="00850816">
        <w:rPr>
          <w:rFonts w:ascii="Century Gothic" w:hAnsi="Century Gothic" w:cs="Calibri"/>
          <w:color w:val="000000"/>
          <w:lang w:val="es-ES"/>
        </w:rPr>
        <w:t xml:space="preserve">. </w:t>
      </w:r>
      <w:hyperlink r:id="rId12" w:tgtFrame="_blank" w:history="1">
        <w:r w:rsidRPr="00850816">
          <w:rPr>
            <w:rStyle w:val="Hipervnculo"/>
            <w:rFonts w:ascii="Century Gothic" w:hAnsi="Century Gothic" w:cs="Calibri"/>
            <w:lang w:val="es-ES"/>
          </w:rPr>
          <w:t>¿Un sueldo extra? El nuevo modelo de Edenred permite ganar hasta 700 euros más al año  </w:t>
        </w:r>
      </w:hyperlink>
    </w:p>
    <w:p w14:paraId="5582D66E" w14:textId="77777777" w:rsidR="00E67A4D" w:rsidRPr="00CB4275" w:rsidRDefault="00E67A4D" w:rsidP="00567483">
      <w:pPr>
        <w:suppressAutoHyphens w:val="0"/>
        <w:spacing w:line="240" w:lineRule="auto"/>
        <w:rPr>
          <w:rFonts w:ascii="Century Gothic" w:hAnsi="Century Gothic"/>
          <w:color w:val="0000FF"/>
          <w:lang w:val="es-ES" w:eastAsia="zh-TW"/>
        </w:rPr>
      </w:pPr>
    </w:p>
    <w:p w14:paraId="62FFDE23" w14:textId="77777777" w:rsidR="0034131E" w:rsidRPr="00E67A4D" w:rsidRDefault="0034131E">
      <w:pPr>
        <w:tabs>
          <w:tab w:val="left" w:pos="2760"/>
        </w:tabs>
        <w:rPr>
          <w:lang w:val="es-ES"/>
        </w:rPr>
      </w:pPr>
    </w:p>
    <w:sectPr w:rsidR="0034131E" w:rsidRPr="00E67A4D">
      <w:footerReference w:type="defaul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A698E" w14:textId="77777777" w:rsidR="00C56CAD" w:rsidRDefault="00C56CAD">
      <w:pPr>
        <w:spacing w:line="240" w:lineRule="auto"/>
      </w:pPr>
      <w:r>
        <w:separator/>
      </w:r>
    </w:p>
  </w:endnote>
  <w:endnote w:type="continuationSeparator" w:id="0">
    <w:p w14:paraId="09003A0F" w14:textId="77777777" w:rsidR="00C56CAD" w:rsidRDefault="00C56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6D02FB98-B793-4CA0-A571-14DF402A333C}"/>
    <w:embedBold r:id="rId2" w:fontKey="{CC14AE60-4867-47C4-A21A-7E4210A01234}"/>
    <w:embedItalic r:id="rId3" w:fontKey="{935F08C0-B99E-4621-A3E5-38BC4EDF80E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A27D4BEF-0D9C-496C-BBB9-1AEEA1C2697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15414A2-0176-468D-8227-1D9E00A637E6}"/>
    <w:embedBold r:id="rId6" w:fontKey="{79D4AE9C-9D1E-43B8-9A8E-6A7600A5680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42D6B93D-EE9D-4810-90B8-4157E1B98F0A}"/>
    <w:embedItalic r:id="rId8" w:fontKey="{BB862721-78E7-4AEC-9C7C-AACD870CAB00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87E6672E-5CA0-4E57-B973-124E11F85CC8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0" w:fontKey="{2E442FFB-4655-4C1A-82B5-A289EC603EA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55193" w14:textId="77777777" w:rsidR="0034131E" w:rsidRDefault="00E660F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B5CB540" wp14:editId="6EA21FCE">
          <wp:simplePos x="0" y="0"/>
          <wp:positionH relativeFrom="column">
            <wp:posOffset>1</wp:posOffset>
          </wp:positionH>
          <wp:positionV relativeFrom="paragraph">
            <wp:posOffset>0</wp:posOffset>
          </wp:positionV>
          <wp:extent cx="525697" cy="337303"/>
          <wp:effectExtent l="0" t="0" r="0" b="0"/>
          <wp:wrapNone/>
          <wp:docPr id="827937672" name="image1.png" descr="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5697" cy="3373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C7373" w14:textId="77777777" w:rsidR="00C56CAD" w:rsidRDefault="00C56CAD">
      <w:pPr>
        <w:spacing w:line="240" w:lineRule="auto"/>
      </w:pPr>
      <w:r>
        <w:separator/>
      </w:r>
    </w:p>
  </w:footnote>
  <w:footnote w:type="continuationSeparator" w:id="0">
    <w:p w14:paraId="66C4EABD" w14:textId="77777777" w:rsidR="00C56CAD" w:rsidRDefault="00C56CA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44AC5"/>
    <w:multiLevelType w:val="multilevel"/>
    <w:tmpl w:val="640A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54FB0"/>
    <w:multiLevelType w:val="multilevel"/>
    <w:tmpl w:val="99C81776"/>
    <w:lvl w:ilvl="0">
      <w:start w:val="1"/>
      <w:numFmt w:val="decimal"/>
      <w:pStyle w:val="BoxBulle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55B5FD5"/>
    <w:multiLevelType w:val="multilevel"/>
    <w:tmpl w:val="8FEE0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866DFC"/>
    <w:multiLevelType w:val="multilevel"/>
    <w:tmpl w:val="7BEEF018"/>
    <w:lvl w:ilvl="0">
      <w:start w:val="1"/>
      <w:numFmt w:val="bullet"/>
      <w:pStyle w:val="BulletLead-in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64B1BCF"/>
    <w:multiLevelType w:val="hybridMultilevel"/>
    <w:tmpl w:val="2F66B3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9529C"/>
    <w:multiLevelType w:val="hybridMultilevel"/>
    <w:tmpl w:val="D3C2637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B21CF7"/>
    <w:multiLevelType w:val="multilevel"/>
    <w:tmpl w:val="E9B8B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852E3A"/>
    <w:multiLevelType w:val="hybridMultilevel"/>
    <w:tmpl w:val="4FCA50A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76F7F25"/>
    <w:multiLevelType w:val="multilevel"/>
    <w:tmpl w:val="21AE5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D81B8E"/>
    <w:multiLevelType w:val="hybridMultilevel"/>
    <w:tmpl w:val="7722DF90"/>
    <w:lvl w:ilvl="0" w:tplc="AC9EDCC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540246018">
    <w:abstractNumId w:val="3"/>
  </w:num>
  <w:num w:numId="2" w16cid:durableId="620915189">
    <w:abstractNumId w:val="1"/>
  </w:num>
  <w:num w:numId="3" w16cid:durableId="9502821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3698190">
    <w:abstractNumId w:val="0"/>
  </w:num>
  <w:num w:numId="5" w16cid:durableId="1620795933">
    <w:abstractNumId w:val="6"/>
  </w:num>
  <w:num w:numId="6" w16cid:durableId="615062920">
    <w:abstractNumId w:val="8"/>
  </w:num>
  <w:num w:numId="7" w16cid:durableId="1644777061">
    <w:abstractNumId w:val="5"/>
  </w:num>
  <w:num w:numId="8" w16cid:durableId="948393040">
    <w:abstractNumId w:val="4"/>
  </w:num>
  <w:num w:numId="9" w16cid:durableId="1445342659">
    <w:abstractNumId w:val="7"/>
  </w:num>
  <w:num w:numId="10" w16cid:durableId="1104036525">
    <w:abstractNumId w:val="2"/>
  </w:num>
  <w:num w:numId="11" w16cid:durableId="3232394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31E"/>
    <w:rsid w:val="00001131"/>
    <w:rsid w:val="000068E3"/>
    <w:rsid w:val="00012AC7"/>
    <w:rsid w:val="00021F2B"/>
    <w:rsid w:val="00022255"/>
    <w:rsid w:val="00025F65"/>
    <w:rsid w:val="00026093"/>
    <w:rsid w:val="000323C6"/>
    <w:rsid w:val="00035309"/>
    <w:rsid w:val="0003750C"/>
    <w:rsid w:val="00041721"/>
    <w:rsid w:val="000417DA"/>
    <w:rsid w:val="0004474C"/>
    <w:rsid w:val="00044DD4"/>
    <w:rsid w:val="000512F0"/>
    <w:rsid w:val="00053526"/>
    <w:rsid w:val="0005490B"/>
    <w:rsid w:val="00054F03"/>
    <w:rsid w:val="000627FB"/>
    <w:rsid w:val="00063563"/>
    <w:rsid w:val="00064F0D"/>
    <w:rsid w:val="00071659"/>
    <w:rsid w:val="0007216B"/>
    <w:rsid w:val="000873EB"/>
    <w:rsid w:val="00092205"/>
    <w:rsid w:val="000960A1"/>
    <w:rsid w:val="000A4CBF"/>
    <w:rsid w:val="000A6E3C"/>
    <w:rsid w:val="000B15B7"/>
    <w:rsid w:val="000B15CF"/>
    <w:rsid w:val="000E5BEA"/>
    <w:rsid w:val="000F4162"/>
    <w:rsid w:val="000F62E7"/>
    <w:rsid w:val="000F7F7F"/>
    <w:rsid w:val="00103781"/>
    <w:rsid w:val="0010482A"/>
    <w:rsid w:val="00106125"/>
    <w:rsid w:val="00124824"/>
    <w:rsid w:val="00125440"/>
    <w:rsid w:val="001325F8"/>
    <w:rsid w:val="00133556"/>
    <w:rsid w:val="001357AA"/>
    <w:rsid w:val="001361C7"/>
    <w:rsid w:val="00142D2F"/>
    <w:rsid w:val="00145926"/>
    <w:rsid w:val="001509D5"/>
    <w:rsid w:val="001533EB"/>
    <w:rsid w:val="00164C1D"/>
    <w:rsid w:val="001724EC"/>
    <w:rsid w:val="0017574A"/>
    <w:rsid w:val="001832D9"/>
    <w:rsid w:val="001834C2"/>
    <w:rsid w:val="0018382E"/>
    <w:rsid w:val="0018413A"/>
    <w:rsid w:val="001857E3"/>
    <w:rsid w:val="00187A61"/>
    <w:rsid w:val="0019097E"/>
    <w:rsid w:val="0019231F"/>
    <w:rsid w:val="00196D68"/>
    <w:rsid w:val="001B3304"/>
    <w:rsid w:val="001B6F44"/>
    <w:rsid w:val="001C2F0A"/>
    <w:rsid w:val="001C4938"/>
    <w:rsid w:val="001C5826"/>
    <w:rsid w:val="001D2A91"/>
    <w:rsid w:val="001D65D3"/>
    <w:rsid w:val="001D6EE6"/>
    <w:rsid w:val="001E738B"/>
    <w:rsid w:val="001F077B"/>
    <w:rsid w:val="001F472E"/>
    <w:rsid w:val="001F4EB2"/>
    <w:rsid w:val="001F79A2"/>
    <w:rsid w:val="001F7F9F"/>
    <w:rsid w:val="002023FC"/>
    <w:rsid w:val="002029B0"/>
    <w:rsid w:val="00202F85"/>
    <w:rsid w:val="0021067C"/>
    <w:rsid w:val="00214AB7"/>
    <w:rsid w:val="00215502"/>
    <w:rsid w:val="00215938"/>
    <w:rsid w:val="00220411"/>
    <w:rsid w:val="00234254"/>
    <w:rsid w:val="0023680A"/>
    <w:rsid w:val="00236FC3"/>
    <w:rsid w:val="00240BFF"/>
    <w:rsid w:val="00240C55"/>
    <w:rsid w:val="00243066"/>
    <w:rsid w:val="002500B4"/>
    <w:rsid w:val="00251D9A"/>
    <w:rsid w:val="0026388D"/>
    <w:rsid w:val="002665DB"/>
    <w:rsid w:val="002A08A5"/>
    <w:rsid w:val="002A58F6"/>
    <w:rsid w:val="002AC8F9"/>
    <w:rsid w:val="002D4BFB"/>
    <w:rsid w:val="002D5F4A"/>
    <w:rsid w:val="002E2116"/>
    <w:rsid w:val="002E4084"/>
    <w:rsid w:val="002F3F7E"/>
    <w:rsid w:val="002F6B0B"/>
    <w:rsid w:val="00300E23"/>
    <w:rsid w:val="00306C54"/>
    <w:rsid w:val="00312F48"/>
    <w:rsid w:val="00316012"/>
    <w:rsid w:val="00323902"/>
    <w:rsid w:val="00334C1D"/>
    <w:rsid w:val="0034131E"/>
    <w:rsid w:val="00346AD9"/>
    <w:rsid w:val="003470F9"/>
    <w:rsid w:val="00350B2A"/>
    <w:rsid w:val="00352B26"/>
    <w:rsid w:val="003530F0"/>
    <w:rsid w:val="00356430"/>
    <w:rsid w:val="0035750B"/>
    <w:rsid w:val="00357DC5"/>
    <w:rsid w:val="00372049"/>
    <w:rsid w:val="00372C87"/>
    <w:rsid w:val="00373468"/>
    <w:rsid w:val="00382F06"/>
    <w:rsid w:val="003845A2"/>
    <w:rsid w:val="003871DC"/>
    <w:rsid w:val="0039534F"/>
    <w:rsid w:val="003967B9"/>
    <w:rsid w:val="003A15A6"/>
    <w:rsid w:val="003A161C"/>
    <w:rsid w:val="003A6ABA"/>
    <w:rsid w:val="003B08CC"/>
    <w:rsid w:val="003B1B90"/>
    <w:rsid w:val="003B3C5A"/>
    <w:rsid w:val="003B4902"/>
    <w:rsid w:val="003B6073"/>
    <w:rsid w:val="003C0022"/>
    <w:rsid w:val="003C03E7"/>
    <w:rsid w:val="003D2293"/>
    <w:rsid w:val="003D22F1"/>
    <w:rsid w:val="003D5524"/>
    <w:rsid w:val="003E2FB8"/>
    <w:rsid w:val="003E529D"/>
    <w:rsid w:val="003E6181"/>
    <w:rsid w:val="003E7120"/>
    <w:rsid w:val="003F3ADE"/>
    <w:rsid w:val="004162FF"/>
    <w:rsid w:val="00420576"/>
    <w:rsid w:val="00427E2A"/>
    <w:rsid w:val="00440013"/>
    <w:rsid w:val="004402DC"/>
    <w:rsid w:val="00447A18"/>
    <w:rsid w:val="00447E8B"/>
    <w:rsid w:val="0045258F"/>
    <w:rsid w:val="0045496E"/>
    <w:rsid w:val="00457E63"/>
    <w:rsid w:val="0047282A"/>
    <w:rsid w:val="004947B0"/>
    <w:rsid w:val="004A7F1C"/>
    <w:rsid w:val="004B0ABE"/>
    <w:rsid w:val="004B1BA1"/>
    <w:rsid w:val="004B6C7F"/>
    <w:rsid w:val="004C0418"/>
    <w:rsid w:val="004C1815"/>
    <w:rsid w:val="004C218A"/>
    <w:rsid w:val="004C278C"/>
    <w:rsid w:val="004D721E"/>
    <w:rsid w:val="004E3B8A"/>
    <w:rsid w:val="004E5017"/>
    <w:rsid w:val="004E5676"/>
    <w:rsid w:val="00505983"/>
    <w:rsid w:val="00505EFC"/>
    <w:rsid w:val="005160D2"/>
    <w:rsid w:val="00530380"/>
    <w:rsid w:val="005309A9"/>
    <w:rsid w:val="005311A5"/>
    <w:rsid w:val="00550198"/>
    <w:rsid w:val="00550C3F"/>
    <w:rsid w:val="00551AB2"/>
    <w:rsid w:val="00552BC1"/>
    <w:rsid w:val="00563FF4"/>
    <w:rsid w:val="005667E4"/>
    <w:rsid w:val="00567483"/>
    <w:rsid w:val="0057489F"/>
    <w:rsid w:val="005763AD"/>
    <w:rsid w:val="00577129"/>
    <w:rsid w:val="005807E7"/>
    <w:rsid w:val="00582CBC"/>
    <w:rsid w:val="0058460A"/>
    <w:rsid w:val="00584BD2"/>
    <w:rsid w:val="00584EC4"/>
    <w:rsid w:val="00590726"/>
    <w:rsid w:val="005A0C33"/>
    <w:rsid w:val="005A49F7"/>
    <w:rsid w:val="005D09EE"/>
    <w:rsid w:val="005D44D8"/>
    <w:rsid w:val="005D5C33"/>
    <w:rsid w:val="005D62B1"/>
    <w:rsid w:val="005E081D"/>
    <w:rsid w:val="005E195F"/>
    <w:rsid w:val="005F6F48"/>
    <w:rsid w:val="00600759"/>
    <w:rsid w:val="006053DD"/>
    <w:rsid w:val="00605A7B"/>
    <w:rsid w:val="00615D5D"/>
    <w:rsid w:val="006161AE"/>
    <w:rsid w:val="0062651D"/>
    <w:rsid w:val="006364CE"/>
    <w:rsid w:val="00637083"/>
    <w:rsid w:val="0064305F"/>
    <w:rsid w:val="00643AAD"/>
    <w:rsid w:val="00643ACC"/>
    <w:rsid w:val="006510CB"/>
    <w:rsid w:val="006552E5"/>
    <w:rsid w:val="00665B97"/>
    <w:rsid w:val="006662D7"/>
    <w:rsid w:val="006665A6"/>
    <w:rsid w:val="006674B5"/>
    <w:rsid w:val="00667F07"/>
    <w:rsid w:val="00672D2D"/>
    <w:rsid w:val="006733D2"/>
    <w:rsid w:val="0068486D"/>
    <w:rsid w:val="006A2018"/>
    <w:rsid w:val="006B2CC0"/>
    <w:rsid w:val="006C029C"/>
    <w:rsid w:val="006C703E"/>
    <w:rsid w:val="006D0E3A"/>
    <w:rsid w:val="006D4363"/>
    <w:rsid w:val="006E4D06"/>
    <w:rsid w:val="006E6527"/>
    <w:rsid w:val="00705CB8"/>
    <w:rsid w:val="00711798"/>
    <w:rsid w:val="00711AC4"/>
    <w:rsid w:val="00713AC2"/>
    <w:rsid w:val="00714118"/>
    <w:rsid w:val="007142AE"/>
    <w:rsid w:val="0071623A"/>
    <w:rsid w:val="00720D3A"/>
    <w:rsid w:val="00726216"/>
    <w:rsid w:val="00731B4D"/>
    <w:rsid w:val="007404EB"/>
    <w:rsid w:val="00740751"/>
    <w:rsid w:val="0074182A"/>
    <w:rsid w:val="007464E8"/>
    <w:rsid w:val="00746E70"/>
    <w:rsid w:val="00751D20"/>
    <w:rsid w:val="007526FE"/>
    <w:rsid w:val="00754BD4"/>
    <w:rsid w:val="0075745C"/>
    <w:rsid w:val="00760E88"/>
    <w:rsid w:val="007624FC"/>
    <w:rsid w:val="007627EE"/>
    <w:rsid w:val="00770BBA"/>
    <w:rsid w:val="0078018B"/>
    <w:rsid w:val="007818AD"/>
    <w:rsid w:val="007939DF"/>
    <w:rsid w:val="00793DB6"/>
    <w:rsid w:val="007A18EE"/>
    <w:rsid w:val="007A254F"/>
    <w:rsid w:val="007A4627"/>
    <w:rsid w:val="007A4899"/>
    <w:rsid w:val="007A788E"/>
    <w:rsid w:val="007B551B"/>
    <w:rsid w:val="007C753D"/>
    <w:rsid w:val="007C7B55"/>
    <w:rsid w:val="007D1E1B"/>
    <w:rsid w:val="007D3420"/>
    <w:rsid w:val="007D630D"/>
    <w:rsid w:val="007E0322"/>
    <w:rsid w:val="007E0FDF"/>
    <w:rsid w:val="007F01E3"/>
    <w:rsid w:val="0080284E"/>
    <w:rsid w:val="00803686"/>
    <w:rsid w:val="0080549B"/>
    <w:rsid w:val="0081117A"/>
    <w:rsid w:val="00824205"/>
    <w:rsid w:val="0083385A"/>
    <w:rsid w:val="00833D4F"/>
    <w:rsid w:val="008361D8"/>
    <w:rsid w:val="0084066C"/>
    <w:rsid w:val="00841129"/>
    <w:rsid w:val="00847878"/>
    <w:rsid w:val="00850816"/>
    <w:rsid w:val="00857B31"/>
    <w:rsid w:val="00861582"/>
    <w:rsid w:val="00862621"/>
    <w:rsid w:val="00867695"/>
    <w:rsid w:val="00870402"/>
    <w:rsid w:val="008772FF"/>
    <w:rsid w:val="00880B27"/>
    <w:rsid w:val="008823F0"/>
    <w:rsid w:val="0088391F"/>
    <w:rsid w:val="008919FD"/>
    <w:rsid w:val="0089688A"/>
    <w:rsid w:val="008B1380"/>
    <w:rsid w:val="008B282B"/>
    <w:rsid w:val="008B3796"/>
    <w:rsid w:val="008B41AE"/>
    <w:rsid w:val="008C1849"/>
    <w:rsid w:val="008C5C42"/>
    <w:rsid w:val="008D4734"/>
    <w:rsid w:val="008D77A2"/>
    <w:rsid w:val="008D7C6D"/>
    <w:rsid w:val="008E2F7B"/>
    <w:rsid w:val="008F4B3F"/>
    <w:rsid w:val="008F64D6"/>
    <w:rsid w:val="009044B7"/>
    <w:rsid w:val="00904EF9"/>
    <w:rsid w:val="00905875"/>
    <w:rsid w:val="00915638"/>
    <w:rsid w:val="0092607F"/>
    <w:rsid w:val="00926BB0"/>
    <w:rsid w:val="00931361"/>
    <w:rsid w:val="00936408"/>
    <w:rsid w:val="00941FE5"/>
    <w:rsid w:val="0094201D"/>
    <w:rsid w:val="009437D4"/>
    <w:rsid w:val="009525F2"/>
    <w:rsid w:val="0096069A"/>
    <w:rsid w:val="009631D2"/>
    <w:rsid w:val="00965623"/>
    <w:rsid w:val="00971FE1"/>
    <w:rsid w:val="0097713A"/>
    <w:rsid w:val="00980339"/>
    <w:rsid w:val="009952CA"/>
    <w:rsid w:val="00997CDA"/>
    <w:rsid w:val="009A6777"/>
    <w:rsid w:val="009A6BE4"/>
    <w:rsid w:val="009C2205"/>
    <w:rsid w:val="009C2F55"/>
    <w:rsid w:val="009D30A4"/>
    <w:rsid w:val="009D6110"/>
    <w:rsid w:val="009D71F7"/>
    <w:rsid w:val="009E4AFC"/>
    <w:rsid w:val="009F4EA4"/>
    <w:rsid w:val="009F5D79"/>
    <w:rsid w:val="00A0047A"/>
    <w:rsid w:val="00A0688B"/>
    <w:rsid w:val="00A120D0"/>
    <w:rsid w:val="00A12632"/>
    <w:rsid w:val="00A153E8"/>
    <w:rsid w:val="00A21212"/>
    <w:rsid w:val="00A214CE"/>
    <w:rsid w:val="00A329FB"/>
    <w:rsid w:val="00A35A72"/>
    <w:rsid w:val="00A446DD"/>
    <w:rsid w:val="00A458BE"/>
    <w:rsid w:val="00A50C82"/>
    <w:rsid w:val="00A514EC"/>
    <w:rsid w:val="00A51A29"/>
    <w:rsid w:val="00A63651"/>
    <w:rsid w:val="00A6484B"/>
    <w:rsid w:val="00A72075"/>
    <w:rsid w:val="00A74DCA"/>
    <w:rsid w:val="00A76561"/>
    <w:rsid w:val="00A9530E"/>
    <w:rsid w:val="00A95D2A"/>
    <w:rsid w:val="00AA27C3"/>
    <w:rsid w:val="00AB1CC7"/>
    <w:rsid w:val="00AB2022"/>
    <w:rsid w:val="00AC25DE"/>
    <w:rsid w:val="00AC7242"/>
    <w:rsid w:val="00AD5033"/>
    <w:rsid w:val="00AE6FF0"/>
    <w:rsid w:val="00AF45E5"/>
    <w:rsid w:val="00B127EA"/>
    <w:rsid w:val="00B1303F"/>
    <w:rsid w:val="00B15D8C"/>
    <w:rsid w:val="00B23548"/>
    <w:rsid w:val="00B35B98"/>
    <w:rsid w:val="00B36776"/>
    <w:rsid w:val="00B36B85"/>
    <w:rsid w:val="00B40130"/>
    <w:rsid w:val="00B43D04"/>
    <w:rsid w:val="00B472F1"/>
    <w:rsid w:val="00B52170"/>
    <w:rsid w:val="00B70AFB"/>
    <w:rsid w:val="00B73F27"/>
    <w:rsid w:val="00B96983"/>
    <w:rsid w:val="00BA20C4"/>
    <w:rsid w:val="00BA70E9"/>
    <w:rsid w:val="00BB21A0"/>
    <w:rsid w:val="00BB29B5"/>
    <w:rsid w:val="00BB4148"/>
    <w:rsid w:val="00BC260C"/>
    <w:rsid w:val="00BC2C3B"/>
    <w:rsid w:val="00BC6A55"/>
    <w:rsid w:val="00BC7B11"/>
    <w:rsid w:val="00BD2594"/>
    <w:rsid w:val="00BD50A6"/>
    <w:rsid w:val="00BD760E"/>
    <w:rsid w:val="00BE1228"/>
    <w:rsid w:val="00BE6191"/>
    <w:rsid w:val="00BF2B35"/>
    <w:rsid w:val="00BF2B92"/>
    <w:rsid w:val="00BF3636"/>
    <w:rsid w:val="00C020FF"/>
    <w:rsid w:val="00C03BAF"/>
    <w:rsid w:val="00C07602"/>
    <w:rsid w:val="00C07913"/>
    <w:rsid w:val="00C16BE2"/>
    <w:rsid w:val="00C224DC"/>
    <w:rsid w:val="00C241ED"/>
    <w:rsid w:val="00C247B0"/>
    <w:rsid w:val="00C2742B"/>
    <w:rsid w:val="00C355E6"/>
    <w:rsid w:val="00C36F8C"/>
    <w:rsid w:val="00C408C6"/>
    <w:rsid w:val="00C40901"/>
    <w:rsid w:val="00C40BEB"/>
    <w:rsid w:val="00C53F92"/>
    <w:rsid w:val="00C5487A"/>
    <w:rsid w:val="00C54FD6"/>
    <w:rsid w:val="00C56CAD"/>
    <w:rsid w:val="00C61BD9"/>
    <w:rsid w:val="00C62290"/>
    <w:rsid w:val="00C63AA1"/>
    <w:rsid w:val="00C729AD"/>
    <w:rsid w:val="00C7766C"/>
    <w:rsid w:val="00C85D30"/>
    <w:rsid w:val="00C90D89"/>
    <w:rsid w:val="00CA154F"/>
    <w:rsid w:val="00CA6FAD"/>
    <w:rsid w:val="00CB3941"/>
    <w:rsid w:val="00CB4275"/>
    <w:rsid w:val="00CB702A"/>
    <w:rsid w:val="00CB791B"/>
    <w:rsid w:val="00CD5537"/>
    <w:rsid w:val="00CD5AEC"/>
    <w:rsid w:val="00CD72E9"/>
    <w:rsid w:val="00CE15AF"/>
    <w:rsid w:val="00CE5F8D"/>
    <w:rsid w:val="00CE68A8"/>
    <w:rsid w:val="00CF30BA"/>
    <w:rsid w:val="00D03656"/>
    <w:rsid w:val="00D13FE4"/>
    <w:rsid w:val="00D17EE6"/>
    <w:rsid w:val="00D205FF"/>
    <w:rsid w:val="00D22A67"/>
    <w:rsid w:val="00D3189C"/>
    <w:rsid w:val="00D339B9"/>
    <w:rsid w:val="00D50666"/>
    <w:rsid w:val="00D56BE5"/>
    <w:rsid w:val="00D60657"/>
    <w:rsid w:val="00D6217F"/>
    <w:rsid w:val="00D77A2F"/>
    <w:rsid w:val="00D803AC"/>
    <w:rsid w:val="00D87718"/>
    <w:rsid w:val="00D91B81"/>
    <w:rsid w:val="00D92E54"/>
    <w:rsid w:val="00D92F2E"/>
    <w:rsid w:val="00D95400"/>
    <w:rsid w:val="00DA44E2"/>
    <w:rsid w:val="00DA4651"/>
    <w:rsid w:val="00DB05D1"/>
    <w:rsid w:val="00DB0FC4"/>
    <w:rsid w:val="00DD0B5C"/>
    <w:rsid w:val="00DD5276"/>
    <w:rsid w:val="00DE0A64"/>
    <w:rsid w:val="00DE0B37"/>
    <w:rsid w:val="00DE42DC"/>
    <w:rsid w:val="00DE7FC7"/>
    <w:rsid w:val="00DF1697"/>
    <w:rsid w:val="00E03607"/>
    <w:rsid w:val="00E14BA0"/>
    <w:rsid w:val="00E21942"/>
    <w:rsid w:val="00E21E9B"/>
    <w:rsid w:val="00E22330"/>
    <w:rsid w:val="00E36C34"/>
    <w:rsid w:val="00E36C9E"/>
    <w:rsid w:val="00E44C67"/>
    <w:rsid w:val="00E52092"/>
    <w:rsid w:val="00E62368"/>
    <w:rsid w:val="00E660F9"/>
    <w:rsid w:val="00E66C6C"/>
    <w:rsid w:val="00E67A4D"/>
    <w:rsid w:val="00E7181B"/>
    <w:rsid w:val="00E72906"/>
    <w:rsid w:val="00E73445"/>
    <w:rsid w:val="00E82000"/>
    <w:rsid w:val="00E8331B"/>
    <w:rsid w:val="00E83C62"/>
    <w:rsid w:val="00E847E1"/>
    <w:rsid w:val="00E87CFB"/>
    <w:rsid w:val="00E95017"/>
    <w:rsid w:val="00EA1EE1"/>
    <w:rsid w:val="00EA2718"/>
    <w:rsid w:val="00EA5BD2"/>
    <w:rsid w:val="00EB2FEF"/>
    <w:rsid w:val="00ED40D2"/>
    <w:rsid w:val="00ED61EE"/>
    <w:rsid w:val="00ED7249"/>
    <w:rsid w:val="00EE2FCB"/>
    <w:rsid w:val="00EF143C"/>
    <w:rsid w:val="00EF5255"/>
    <w:rsid w:val="00F0119D"/>
    <w:rsid w:val="00F06410"/>
    <w:rsid w:val="00F10BFD"/>
    <w:rsid w:val="00F127EF"/>
    <w:rsid w:val="00F14361"/>
    <w:rsid w:val="00F16D4A"/>
    <w:rsid w:val="00F205CD"/>
    <w:rsid w:val="00F22467"/>
    <w:rsid w:val="00F2424C"/>
    <w:rsid w:val="00F300B0"/>
    <w:rsid w:val="00F30A2E"/>
    <w:rsid w:val="00F3437B"/>
    <w:rsid w:val="00F348CD"/>
    <w:rsid w:val="00F42A44"/>
    <w:rsid w:val="00F43594"/>
    <w:rsid w:val="00F44031"/>
    <w:rsid w:val="00F539A2"/>
    <w:rsid w:val="00F65124"/>
    <w:rsid w:val="00F716A8"/>
    <w:rsid w:val="00F71D13"/>
    <w:rsid w:val="00F7240C"/>
    <w:rsid w:val="00F832FE"/>
    <w:rsid w:val="00F92ECE"/>
    <w:rsid w:val="00F964D3"/>
    <w:rsid w:val="00FA27C8"/>
    <w:rsid w:val="00FA7B8E"/>
    <w:rsid w:val="00FB1E4C"/>
    <w:rsid w:val="00FC23BE"/>
    <w:rsid w:val="00FC5675"/>
    <w:rsid w:val="00FD4C4E"/>
    <w:rsid w:val="00FD76EF"/>
    <w:rsid w:val="00FE17FD"/>
    <w:rsid w:val="00FE19E7"/>
    <w:rsid w:val="00FE7B55"/>
    <w:rsid w:val="00FF4442"/>
    <w:rsid w:val="00FF5A5A"/>
    <w:rsid w:val="05F2F5FE"/>
    <w:rsid w:val="065F4BB8"/>
    <w:rsid w:val="06B6BABF"/>
    <w:rsid w:val="09EFB7A2"/>
    <w:rsid w:val="0E6A4D40"/>
    <w:rsid w:val="0EACD5B9"/>
    <w:rsid w:val="10C8913A"/>
    <w:rsid w:val="13EBFE23"/>
    <w:rsid w:val="160D062E"/>
    <w:rsid w:val="18864BFD"/>
    <w:rsid w:val="1BC155E2"/>
    <w:rsid w:val="1DD92EDD"/>
    <w:rsid w:val="213CBF0C"/>
    <w:rsid w:val="2196402C"/>
    <w:rsid w:val="21EC79F4"/>
    <w:rsid w:val="23AE8FDB"/>
    <w:rsid w:val="25A1E131"/>
    <w:rsid w:val="25D5E126"/>
    <w:rsid w:val="26D8F9FE"/>
    <w:rsid w:val="280F3839"/>
    <w:rsid w:val="2823BA89"/>
    <w:rsid w:val="2B526E90"/>
    <w:rsid w:val="2BCF5C3B"/>
    <w:rsid w:val="2E70FD7C"/>
    <w:rsid w:val="308CE62E"/>
    <w:rsid w:val="30A0C5C1"/>
    <w:rsid w:val="34FEDFA7"/>
    <w:rsid w:val="369F593A"/>
    <w:rsid w:val="371856E5"/>
    <w:rsid w:val="374C9155"/>
    <w:rsid w:val="375BD748"/>
    <w:rsid w:val="383814D8"/>
    <w:rsid w:val="38B4911A"/>
    <w:rsid w:val="3B008945"/>
    <w:rsid w:val="3BA2837A"/>
    <w:rsid w:val="3C53924A"/>
    <w:rsid w:val="3F5437B4"/>
    <w:rsid w:val="41641B85"/>
    <w:rsid w:val="4959E5F3"/>
    <w:rsid w:val="4BE621DD"/>
    <w:rsid w:val="4CBEDA62"/>
    <w:rsid w:val="4CCE9515"/>
    <w:rsid w:val="50F06A75"/>
    <w:rsid w:val="5305EDC2"/>
    <w:rsid w:val="53BD2348"/>
    <w:rsid w:val="546A92CD"/>
    <w:rsid w:val="560C8024"/>
    <w:rsid w:val="5898401E"/>
    <w:rsid w:val="5B31A40B"/>
    <w:rsid w:val="5CA98C24"/>
    <w:rsid w:val="5DA99854"/>
    <w:rsid w:val="663B0077"/>
    <w:rsid w:val="6BC0EBE4"/>
    <w:rsid w:val="70C8D37E"/>
    <w:rsid w:val="737CE7B6"/>
    <w:rsid w:val="7433E11C"/>
    <w:rsid w:val="7871484E"/>
    <w:rsid w:val="79BE70E0"/>
    <w:rsid w:val="7D47A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34EEC3"/>
  <w15:docId w15:val="{6C03D76B-DA03-406D-A78D-61B9D3E78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1204C"/>
        <w:lang w:val="fr-FR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60" w:lineRule="atLeast"/>
    </w:pPr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line="276" w:lineRule="auto"/>
      <w:ind w:left="708"/>
      <w:outlineLvl w:val="0"/>
    </w:pPr>
    <w:rPr>
      <w:rFonts w:eastAsia="MS Gothic"/>
      <w:b/>
      <w:bCs/>
      <w:color w:val="17153B"/>
      <w:sz w:val="28"/>
      <w:szCs w:val="28"/>
      <w:lang w:val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ind w:left="708"/>
      <w:outlineLvl w:val="1"/>
    </w:pPr>
    <w:rPr>
      <w:rFonts w:eastAsia="MS Gothic"/>
      <w:b/>
      <w:bCs/>
      <w:color w:val="201C50"/>
      <w:sz w:val="26"/>
      <w:szCs w:val="26"/>
      <w:lang w:val="en-U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ind w:left="708"/>
      <w:outlineLvl w:val="2"/>
    </w:pPr>
    <w:rPr>
      <w:rFonts w:eastAsia="MS Gothic"/>
      <w:b/>
      <w:bCs/>
      <w:color w:val="201C50"/>
      <w:szCs w:val="22"/>
      <w:lang w:val="en-U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pPr>
      <w:spacing w:line="240" w:lineRule="auto"/>
    </w:pPr>
    <w:rPr>
      <w:rFonts w:ascii="Century Gothic" w:hAnsi="Century Gothic"/>
      <w:color w:val="auto"/>
      <w:sz w:val="28"/>
    </w:rPr>
  </w:style>
  <w:style w:type="paragraph" w:styleId="Piedepgina">
    <w:name w:val="footer"/>
    <w:basedOn w:val="Normal"/>
    <w:pPr>
      <w:tabs>
        <w:tab w:val="center" w:pos="4536"/>
        <w:tab w:val="right" w:pos="9072"/>
      </w:tabs>
      <w:spacing w:line="240" w:lineRule="auto"/>
    </w:pPr>
  </w:style>
  <w:style w:type="paragraph" w:customStyle="1" w:styleId="EdenredDate">
    <w:name w:val="Edenred Date"/>
    <w:basedOn w:val="Encabezado"/>
    <w:pPr>
      <w:jc w:val="right"/>
    </w:pPr>
    <w:rPr>
      <w:sz w:val="20"/>
    </w:rPr>
  </w:style>
  <w:style w:type="paragraph" w:customStyle="1" w:styleId="EdenredTitle">
    <w:name w:val="Edenred Title"/>
    <w:basedOn w:val="Text"/>
    <w:rPr>
      <w:color w:val="162056"/>
      <w:sz w:val="40"/>
      <w:szCs w:val="40"/>
    </w:rPr>
  </w:style>
  <w:style w:type="paragraph" w:customStyle="1" w:styleId="Edenredsubtitle">
    <w:name w:val="Edenred subtitle"/>
    <w:basedOn w:val="Normal"/>
    <w:pPr>
      <w:spacing w:line="254" w:lineRule="auto"/>
      <w:jc w:val="both"/>
    </w:pPr>
    <w:rPr>
      <w:rFonts w:ascii="Century Gothic" w:hAnsi="Century Gothic"/>
      <w:color w:val="003591"/>
      <w:sz w:val="30"/>
      <w:szCs w:val="30"/>
      <w:lang w:val="en-US"/>
    </w:rPr>
  </w:style>
  <w:style w:type="paragraph" w:customStyle="1" w:styleId="Text">
    <w:name w:val="Text"/>
    <w:basedOn w:val="Normal"/>
    <w:pPr>
      <w:spacing w:line="254" w:lineRule="auto"/>
      <w:jc w:val="both"/>
    </w:pPr>
    <w:rPr>
      <w:rFonts w:ascii="Century Gothic" w:hAnsi="Century Gothic"/>
      <w:color w:val="auto"/>
      <w:lang w:val="en-US"/>
    </w:rPr>
  </w:style>
  <w:style w:type="character" w:customStyle="1" w:styleId="PiedepginaCar">
    <w:name w:val="Pie de página Car"/>
    <w:basedOn w:val="Fuentedeprrafopredeter"/>
    <w:rPr>
      <w:rFonts w:ascii="Arial" w:hAnsi="Arial"/>
      <w:color w:val="11204C"/>
      <w:lang w:eastAsia="en-US"/>
    </w:rPr>
  </w:style>
  <w:style w:type="paragraph" w:styleId="Textodeglobo">
    <w:name w:val="Balloon Text"/>
    <w:basedOn w:val="Normal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color w:val="11204C"/>
      <w:sz w:val="16"/>
      <w:szCs w:val="16"/>
      <w:lang w:eastAsia="en-US"/>
    </w:rPr>
  </w:style>
  <w:style w:type="paragraph" w:customStyle="1" w:styleId="Page">
    <w:name w:val="Page"/>
    <w:basedOn w:val="Normal"/>
    <w:pPr>
      <w:jc w:val="right"/>
    </w:pPr>
    <w:rPr>
      <w:sz w:val="16"/>
    </w:rPr>
  </w:style>
  <w:style w:type="character" w:customStyle="1" w:styleId="TextCar">
    <w:name w:val="Text Car"/>
    <w:rPr>
      <w:rFonts w:ascii="Century Gothic" w:hAnsi="Century Gothic" w:cs="Arial"/>
      <w:lang w:val="en-US" w:eastAsia="en-US"/>
    </w:rPr>
  </w:style>
  <w:style w:type="paragraph" w:styleId="Textonotapie">
    <w:name w:val="footnote text"/>
    <w:basedOn w:val="Normal"/>
    <w:pPr>
      <w:spacing w:line="240" w:lineRule="auto"/>
    </w:pPr>
    <w:rPr>
      <w:rFonts w:ascii="Century Gothic" w:hAnsi="Century Gothic"/>
      <w:color w:val="auto"/>
      <w:sz w:val="14"/>
    </w:rPr>
  </w:style>
  <w:style w:type="character" w:customStyle="1" w:styleId="TextonotapieCar">
    <w:name w:val="Texto nota pie Car"/>
    <w:rPr>
      <w:rFonts w:ascii="Century Gothic" w:hAnsi="Century Gothic"/>
      <w:sz w:val="14"/>
      <w:lang w:eastAsia="en-US"/>
    </w:rPr>
  </w:style>
  <w:style w:type="character" w:styleId="Refdenotaalpie">
    <w:name w:val="footnote reference"/>
    <w:rPr>
      <w:position w:val="0"/>
      <w:vertAlign w:val="superscript"/>
    </w:rPr>
  </w:style>
  <w:style w:type="character" w:customStyle="1" w:styleId="Ttulo1Car">
    <w:name w:val="Título 1 Car"/>
    <w:rPr>
      <w:rFonts w:ascii="Arial" w:eastAsia="MS Gothic" w:hAnsi="Arial"/>
      <w:b/>
      <w:bCs/>
      <w:color w:val="17153B"/>
      <w:sz w:val="28"/>
      <w:szCs w:val="28"/>
      <w:lang w:val="en-US" w:eastAsia="en-US"/>
    </w:rPr>
  </w:style>
  <w:style w:type="character" w:customStyle="1" w:styleId="Ttulo2Car">
    <w:name w:val="Título 2 Car"/>
    <w:rPr>
      <w:rFonts w:ascii="Arial" w:eastAsia="MS Gothic" w:hAnsi="Arial"/>
      <w:b/>
      <w:bCs/>
      <w:color w:val="201C50"/>
      <w:sz w:val="26"/>
      <w:szCs w:val="26"/>
      <w:lang w:val="en-US" w:eastAsia="en-US"/>
    </w:rPr>
  </w:style>
  <w:style w:type="character" w:customStyle="1" w:styleId="Ttulo3Car">
    <w:name w:val="Título 3 Car"/>
    <w:rPr>
      <w:rFonts w:ascii="Arial" w:eastAsia="MS Gothic" w:hAnsi="Arial"/>
      <w:b/>
      <w:bCs/>
      <w:color w:val="201C50"/>
      <w:szCs w:val="22"/>
      <w:lang w:val="en-US" w:eastAsia="en-US"/>
    </w:rPr>
  </w:style>
  <w:style w:type="paragraph" w:customStyle="1" w:styleId="Title1">
    <w:name w:val="Title 1"/>
    <w:basedOn w:val="Normal"/>
    <w:pPr>
      <w:spacing w:line="254" w:lineRule="auto"/>
      <w:jc w:val="both"/>
    </w:pPr>
    <w:rPr>
      <w:rFonts w:ascii="Century Gothic" w:hAnsi="Century Gothic"/>
      <w:b/>
      <w:color w:val="003591"/>
      <w:sz w:val="28"/>
      <w:szCs w:val="28"/>
      <w:lang w:val="en-US" w:eastAsia="fr-FR"/>
    </w:rPr>
  </w:style>
  <w:style w:type="character" w:customStyle="1" w:styleId="Title1Car">
    <w:name w:val="Title 1 Car"/>
    <w:rPr>
      <w:rFonts w:ascii="Century Gothic" w:hAnsi="Century Gothic" w:cs="Arial"/>
      <w:b/>
      <w:color w:val="003591"/>
      <w:sz w:val="28"/>
      <w:szCs w:val="28"/>
      <w:lang w:val="en-US"/>
    </w:rPr>
  </w:style>
  <w:style w:type="paragraph" w:customStyle="1" w:styleId="Title2">
    <w:name w:val="Title 2"/>
    <w:basedOn w:val="Normal"/>
    <w:next w:val="Normal"/>
    <w:pPr>
      <w:spacing w:line="276" w:lineRule="auto"/>
      <w:jc w:val="both"/>
    </w:pPr>
    <w:rPr>
      <w:rFonts w:ascii="Century Gothic" w:hAnsi="Century Gothic"/>
      <w:b/>
      <w:color w:val="003591"/>
      <w:sz w:val="24"/>
      <w:szCs w:val="24"/>
      <w:lang w:val="en-US"/>
    </w:rPr>
  </w:style>
  <w:style w:type="character" w:customStyle="1" w:styleId="Title2Car">
    <w:name w:val="Title 2 Car"/>
    <w:rPr>
      <w:rFonts w:ascii="Century Gothic" w:hAnsi="Century Gothic" w:cs="Arial"/>
      <w:b/>
      <w:color w:val="003591"/>
      <w:sz w:val="24"/>
      <w:szCs w:val="24"/>
      <w:lang w:val="en-US" w:eastAsia="en-US"/>
    </w:rPr>
  </w:style>
  <w:style w:type="paragraph" w:customStyle="1" w:styleId="BulletLead-in1">
    <w:name w:val="Bullet Lead-in 1"/>
    <w:basedOn w:val="Normal"/>
    <w:pPr>
      <w:spacing w:line="254" w:lineRule="auto"/>
      <w:contextualSpacing/>
      <w:jc w:val="both"/>
    </w:pPr>
    <w:rPr>
      <w:rFonts w:ascii="Century Gothic" w:hAnsi="Century Gothic"/>
      <w:b/>
      <w:color w:val="auto"/>
      <w:lang w:val="en-US"/>
    </w:rPr>
  </w:style>
  <w:style w:type="character" w:customStyle="1" w:styleId="BulletLead-in1Car">
    <w:name w:val="Bullet Lead-in 1 Car"/>
    <w:rPr>
      <w:rFonts w:ascii="Century Gothic" w:hAnsi="Century Gothic" w:cs="Arial"/>
      <w:b/>
      <w:lang w:val="en-US" w:eastAsia="en-US"/>
    </w:rPr>
  </w:style>
  <w:style w:type="paragraph" w:customStyle="1" w:styleId="BulletLead-in2">
    <w:name w:val="Bullet Lead-in 2"/>
    <w:basedOn w:val="Normal"/>
    <w:pPr>
      <w:numPr>
        <w:numId w:val="1"/>
      </w:numPr>
    </w:pPr>
    <w:rPr>
      <w:rFonts w:ascii="Century Gothic" w:hAnsi="Century Gothic"/>
      <w:color w:val="auto"/>
    </w:rPr>
  </w:style>
  <w:style w:type="character" w:customStyle="1" w:styleId="BulletLead-in2Car">
    <w:name w:val="Bullet Lead-in 2 Car"/>
    <w:rPr>
      <w:rFonts w:ascii="Century Gothic" w:hAnsi="Century Gothic"/>
      <w:lang w:eastAsia="en-US"/>
    </w:rPr>
  </w:style>
  <w:style w:type="paragraph" w:styleId="TtuloTDC">
    <w:name w:val="TOC Heading"/>
    <w:basedOn w:val="Ttulo1"/>
    <w:next w:val="Normal"/>
    <w:rPr>
      <w:lang w:eastAsia="fr-FR"/>
    </w:rPr>
  </w:style>
  <w:style w:type="paragraph" w:styleId="Textoindependiente">
    <w:name w:val="Body Text"/>
    <w:basedOn w:val="Normal"/>
    <w:pPr>
      <w:spacing w:after="120" w:line="276" w:lineRule="auto"/>
      <w:ind w:left="708"/>
    </w:pPr>
    <w:rPr>
      <w:color w:val="002060"/>
      <w:szCs w:val="22"/>
      <w:lang w:val="en-US"/>
    </w:rPr>
  </w:style>
  <w:style w:type="character" w:customStyle="1" w:styleId="TextoindependienteCar">
    <w:name w:val="Texto independiente Car"/>
    <w:rPr>
      <w:rFonts w:ascii="Arial" w:eastAsia="Arial" w:hAnsi="Arial"/>
      <w:color w:val="002060"/>
      <w:szCs w:val="22"/>
      <w:lang w:val="en-US" w:eastAsia="en-US"/>
    </w:rPr>
  </w:style>
  <w:style w:type="character" w:customStyle="1" w:styleId="EncabezadoCar">
    <w:name w:val="Encabezado Car"/>
    <w:rPr>
      <w:rFonts w:ascii="Century Gothic" w:hAnsi="Century Gothic"/>
      <w:sz w:val="28"/>
      <w:lang w:eastAsia="en-US"/>
    </w:rPr>
  </w:style>
  <w:style w:type="character" w:styleId="Hipervnculo">
    <w:name w:val="Hyperlink"/>
    <w:rPr>
      <w:color w:val="55517B"/>
    </w:rPr>
  </w:style>
  <w:style w:type="paragraph" w:styleId="Textonotaalfinal">
    <w:name w:val="endnote text"/>
    <w:basedOn w:val="Normal"/>
    <w:pPr>
      <w:spacing w:line="240" w:lineRule="auto"/>
      <w:ind w:left="708"/>
    </w:pPr>
    <w:rPr>
      <w:color w:val="002060"/>
      <w:lang w:val="en-US"/>
    </w:rPr>
  </w:style>
  <w:style w:type="character" w:customStyle="1" w:styleId="TextonotaalfinalCar">
    <w:name w:val="Texto nota al final Car"/>
    <w:rPr>
      <w:rFonts w:ascii="Arial" w:eastAsia="Arial" w:hAnsi="Arial"/>
      <w:color w:val="002060"/>
      <w:lang w:val="en-US" w:eastAsia="en-US"/>
    </w:rPr>
  </w:style>
  <w:style w:type="character" w:styleId="Refdenotaalfinal">
    <w:name w:val="endnote reference"/>
    <w:rPr>
      <w:position w:val="0"/>
      <w:vertAlign w:val="superscript"/>
    </w:rPr>
  </w:style>
  <w:style w:type="character" w:styleId="Refdecomentario">
    <w:name w:val="annotation reference"/>
    <w:rPr>
      <w:sz w:val="16"/>
      <w:szCs w:val="16"/>
    </w:rPr>
  </w:style>
  <w:style w:type="paragraph" w:styleId="Textocomentario">
    <w:name w:val="annotation text"/>
    <w:basedOn w:val="Normal"/>
    <w:pPr>
      <w:spacing w:after="200" w:line="240" w:lineRule="auto"/>
      <w:ind w:left="708"/>
    </w:pPr>
    <w:rPr>
      <w:color w:val="002060"/>
      <w:lang w:val="en-US"/>
    </w:rPr>
  </w:style>
  <w:style w:type="character" w:customStyle="1" w:styleId="TextocomentarioCar">
    <w:name w:val="Texto comentario Car"/>
    <w:rPr>
      <w:rFonts w:ascii="Arial" w:eastAsia="Arial" w:hAnsi="Arial"/>
      <w:color w:val="002060"/>
      <w:lang w:val="en-US" w:eastAsia="en-US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customStyle="1" w:styleId="AsuntodelcomentarioCar">
    <w:name w:val="Asunto del comentario Car"/>
    <w:rPr>
      <w:rFonts w:ascii="Arial" w:eastAsia="Arial" w:hAnsi="Arial"/>
      <w:b/>
      <w:bCs/>
      <w:color w:val="002060"/>
      <w:lang w:val="en-US" w:eastAsia="en-US"/>
    </w:rPr>
  </w:style>
  <w:style w:type="paragraph" w:styleId="Revisin">
    <w:name w:val="Revision"/>
    <w:pPr>
      <w:suppressAutoHyphens/>
    </w:pPr>
    <w:rPr>
      <w:color w:val="002060"/>
      <w:szCs w:val="22"/>
      <w:lang w:val="en-US" w:eastAsia="en-US"/>
    </w:rPr>
  </w:style>
  <w:style w:type="character" w:styleId="Hipervnculovisitado">
    <w:name w:val="FollowedHyperlink"/>
    <w:rPr>
      <w:color w:val="0F004E"/>
      <w:u w:val="single"/>
    </w:rPr>
  </w:style>
  <w:style w:type="paragraph" w:customStyle="1" w:styleId="Tablecaptiontext">
    <w:name w:val="Table caption text"/>
    <w:basedOn w:val="Normal"/>
    <w:pPr>
      <w:spacing w:line="260" w:lineRule="exact"/>
      <w:ind w:right="113"/>
    </w:pPr>
    <w:rPr>
      <w:rFonts w:ascii="Century Gothic" w:hAnsi="Century Gothic"/>
      <w:color w:val="auto"/>
      <w:sz w:val="16"/>
      <w:lang w:val="en-GB" w:eastAsia="fr-FR"/>
    </w:rPr>
  </w:style>
  <w:style w:type="paragraph" w:customStyle="1" w:styleId="Tablecolumntitle">
    <w:name w:val="Table column title"/>
    <w:basedOn w:val="Normal"/>
    <w:pPr>
      <w:spacing w:line="260" w:lineRule="exact"/>
      <w:ind w:left="113" w:right="113"/>
      <w:jc w:val="right"/>
    </w:pPr>
    <w:rPr>
      <w:rFonts w:ascii="Century Gothic" w:hAnsi="Century Gothic"/>
      <w:color w:val="auto"/>
      <w:sz w:val="16"/>
      <w:lang w:val="en-GB" w:eastAsia="fr-FR"/>
    </w:rPr>
  </w:style>
  <w:style w:type="character" w:customStyle="1" w:styleId="BoilerPlateChar">
    <w:name w:val="Boiler Plate Char"/>
    <w:rPr>
      <w:rFonts w:ascii="Century Gothic" w:eastAsia="Calibri" w:hAnsi="Century Gothic" w:cs="Calibri"/>
      <w:sz w:val="16"/>
      <w:szCs w:val="14"/>
      <w:lang w:val="en-US" w:eastAsia="en-US"/>
    </w:rPr>
  </w:style>
  <w:style w:type="paragraph" w:customStyle="1" w:styleId="BoilerPlate">
    <w:name w:val="Boiler Plate"/>
    <w:basedOn w:val="Normal"/>
    <w:pPr>
      <w:spacing w:line="254" w:lineRule="auto"/>
      <w:jc w:val="both"/>
    </w:pPr>
    <w:rPr>
      <w:rFonts w:ascii="Century Gothic" w:eastAsia="Calibri" w:hAnsi="Century Gothic" w:cs="Calibri"/>
      <w:color w:val="auto"/>
      <w:sz w:val="16"/>
      <w:szCs w:val="14"/>
      <w:lang w:val="en-US"/>
    </w:rPr>
  </w:style>
  <w:style w:type="paragraph" w:customStyle="1" w:styleId="Pagefooter">
    <w:name w:val="Page footer"/>
    <w:basedOn w:val="Normal"/>
    <w:pPr>
      <w:spacing w:line="200" w:lineRule="exact"/>
      <w:ind w:right="-199"/>
      <w:jc w:val="right"/>
    </w:pPr>
    <w:rPr>
      <w:color w:val="D52B1E"/>
      <w:sz w:val="12"/>
      <w:lang w:eastAsia="fr-FR"/>
    </w:rPr>
  </w:style>
  <w:style w:type="paragraph" w:customStyle="1" w:styleId="Title3">
    <w:name w:val="Title 3"/>
    <w:basedOn w:val="Normal"/>
    <w:pPr>
      <w:spacing w:line="254" w:lineRule="auto"/>
    </w:pPr>
    <w:rPr>
      <w:rFonts w:ascii="Century Gothic" w:hAnsi="Century Gothic"/>
      <w:b/>
      <w:color w:val="003591"/>
      <w:lang w:val="en-US"/>
    </w:rPr>
  </w:style>
  <w:style w:type="character" w:customStyle="1" w:styleId="Title3Car">
    <w:name w:val="Title 3 Car"/>
    <w:basedOn w:val="Fuentedeprrafopredeter"/>
    <w:rPr>
      <w:rFonts w:ascii="Century Gothic" w:hAnsi="Century Gothic" w:cs="Arial"/>
      <w:b/>
      <w:color w:val="003591"/>
      <w:lang w:val="en-US" w:eastAsia="en-US"/>
    </w:rPr>
  </w:style>
  <w:style w:type="paragraph" w:customStyle="1" w:styleId="Lead-in">
    <w:name w:val="Lead-in"/>
    <w:basedOn w:val="Text"/>
  </w:style>
  <w:style w:type="character" w:customStyle="1" w:styleId="Lead-inCar">
    <w:name w:val="Lead-in Car"/>
    <w:basedOn w:val="TextCar"/>
    <w:rPr>
      <w:rFonts w:ascii="Century Gothic" w:hAnsi="Century Gothic" w:cs="Arial"/>
      <w:lang w:val="en-US" w:eastAsia="en-US"/>
    </w:rPr>
  </w:style>
  <w:style w:type="paragraph" w:customStyle="1" w:styleId="BoxBullet1">
    <w:name w:val="Box Bullet 1"/>
    <w:pPr>
      <w:numPr>
        <w:numId w:val="2"/>
      </w:numPr>
      <w:suppressAutoHyphens/>
    </w:pPr>
    <w:rPr>
      <w:rFonts w:ascii="Century Gothic" w:hAnsi="Century Gothic"/>
      <w:b/>
      <w:color w:val="003591"/>
      <w:lang w:val="en-US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customStyle="1" w:styleId="BoxBullet2">
    <w:name w:val="Box Bullet 2"/>
    <w:pPr>
      <w:tabs>
        <w:tab w:val="num" w:pos="720"/>
      </w:tabs>
      <w:suppressAutoHyphens/>
      <w:ind w:left="720" w:hanging="720"/>
    </w:pPr>
    <w:rPr>
      <w:rFonts w:ascii="Century Gothic" w:hAnsi="Century Gothic"/>
      <w:lang w:eastAsia="en-US"/>
    </w:rPr>
  </w:style>
  <w:style w:type="character" w:customStyle="1" w:styleId="PrrafodelistaCar">
    <w:name w:val="Párrafo de lista Car"/>
    <w:rPr>
      <w:rFonts w:ascii="Arial" w:hAnsi="Arial"/>
      <w:color w:val="11204C"/>
      <w:lang w:eastAsia="en-US"/>
    </w:rPr>
  </w:style>
  <w:style w:type="paragraph" w:styleId="NormalWeb">
    <w:name w:val="Normal (Web)"/>
    <w:basedOn w:val="Normal"/>
    <w:uiPriority w:val="99"/>
    <w:pPr>
      <w:spacing w:line="240" w:lineRule="auto"/>
    </w:pPr>
    <w:rPr>
      <w:rFonts w:ascii="Calibri" w:eastAsia="Century Gothic" w:hAnsi="Calibri" w:cs="Calibri"/>
      <w:color w:val="auto"/>
      <w:sz w:val="22"/>
      <w:szCs w:val="22"/>
      <w:lang w:val="en-US" w:eastAsia="fr-FR"/>
    </w:rPr>
  </w:style>
  <w:style w:type="paragraph" w:customStyle="1" w:styleId="paragraph">
    <w:name w:val="paragraph"/>
    <w:basedOn w:val="Normal"/>
    <w:pPr>
      <w:spacing w:before="100" w:after="100" w:line="240" w:lineRule="auto"/>
    </w:pPr>
    <w:rPr>
      <w:rFonts w:ascii="Times New Roman" w:hAnsi="Times New Roman"/>
      <w:color w:val="auto"/>
      <w:sz w:val="24"/>
      <w:szCs w:val="24"/>
      <w:lang w:eastAsia="fr-FR"/>
    </w:rPr>
  </w:style>
  <w:style w:type="character" w:customStyle="1" w:styleId="normaltextrun">
    <w:name w:val="normaltextrun"/>
    <w:basedOn w:val="Fuentedeprrafopredeter"/>
  </w:style>
  <w:style w:type="character" w:customStyle="1" w:styleId="eop">
    <w:name w:val="eop"/>
    <w:basedOn w:val="Fuentedeprrafopredeter"/>
  </w:style>
  <w:style w:type="character" w:styleId="Mencinsinresolver">
    <w:name w:val="Unresolved Mention"/>
    <w:basedOn w:val="Fuentedeprrafopredeter"/>
    <w:rPr>
      <w:color w:val="605E5C"/>
      <w:shd w:val="clear" w:color="auto" w:fill="E1DFDD"/>
    </w:rPr>
  </w:style>
  <w:style w:type="numbering" w:customStyle="1" w:styleId="LFO10">
    <w:name w:val="LFO10"/>
    <w:basedOn w:val="Sinlista"/>
  </w:style>
  <w:style w:type="numbering" w:customStyle="1" w:styleId="LFO19">
    <w:name w:val="LFO19"/>
    <w:basedOn w:val="Sinlista"/>
  </w:style>
  <w:style w:type="numbering" w:customStyle="1" w:styleId="LFO20">
    <w:name w:val="LFO20"/>
    <w:basedOn w:val="Sinlista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tblPr>
      <w:tblStyleRowBandSize w:val="1"/>
      <w:tblStyleColBandSize w:val="1"/>
      <w:tblInd w:w="0" w:type="nil"/>
      <w:tblCellMar>
        <w:left w:w="10" w:type="dxa"/>
        <w:right w:w="10" w:type="dxa"/>
      </w:tblCellMar>
    </w:tblPr>
  </w:style>
  <w:style w:type="table" w:customStyle="1" w:styleId="TableNormal1">
    <w:name w:val="Table Normal1"/>
    <w:rsid w:val="007A462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oennegrita">
    <w:name w:val="Strong"/>
    <w:basedOn w:val="Fuentedeprrafopredeter"/>
    <w:uiPriority w:val="22"/>
    <w:qFormat/>
    <w:rsid w:val="00352B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ldefense.com/v3/__https:/infonegocios.madrid/plus/denred-lanza-su-modelo-mixto-hasta-700-mas-al-ano-para-perfiles-con-salario-medio-en-espana__;!!EyGG_rL3!EnkLwp7e89wQjg0V9JTB6QVej17h9OTgVtL_ZoGi9QUaiBF1awsZyDHuhFd3o4G80gnQ4AMsLGoXjr0v0HtJIiytmDHjE2KEgDQ$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ldefense.com/v3/__https:/www.rrhhpress.com/zona-tech/63596-edenred-modelo-mixto-ahorro-fiscal-700-euros-espana__;!!EyGG_rL3!EnkLwp7e89wQjg0V9JTB6QVej17h9OTgVtL_ZoGi9QUaiBF1awsZyDHuhFd3o4G80gnQ4AMsLGoXjr0v0HtJIiytmDHjfYA1qvw$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quipo.edenred@newlink-group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ejandro.delgadosanchez@edenred.com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A4bHXuFG8ZK1f8jUvsxeC2OwKQ==">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1221</Words>
  <Characters>7569</Characters>
  <Application>Microsoft Office Word</Application>
  <DocSecurity>0</DocSecurity>
  <Lines>63</Lines>
  <Paragraphs>17</Paragraphs>
  <ScaleCrop>false</ScaleCrop>
  <Company/>
  <LinksUpToDate>false</LinksUpToDate>
  <CharactersWithSpaces>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COURTOIS Cécile</dc:creator>
  <cp:keywords/>
  <cp:lastModifiedBy>SÁNCHEZ Míriam</cp:lastModifiedBy>
  <cp:revision>10</cp:revision>
  <dcterms:created xsi:type="dcterms:W3CDTF">2026-04-21T06:45:00Z</dcterms:created>
  <dcterms:modified xsi:type="dcterms:W3CDTF">2026-07-21T06:32:00Z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0x010100C507B8DFC332A440B799D44257F07BA7</vt:lpwstr>
  </property>
  <property fmtid="{D5CDD505-2E9C-101B-9397-08002B2CF9AE}" pid="3" name="GrammarlyDocumentId">
    <vt:lpwstr>797d063b200a87c27582bd0be5c9c9e5374e71033a601ec6e631990873192edf</vt:lpwstr>
  </property>
  <property fmtid="{D5CDD505-2E9C-101B-9397-08002B2CF9AE}" pid="4" name="MSIP_Label_16091971-b0ef-48f5-bce1-a3196e01ad58_Enabled">
    <vt:lpwstr>true</vt:lpwstr>
  </property>
  <property fmtid="{D5CDD505-2E9C-101B-9397-08002B2CF9AE}" pid="5" name="MSIP_Label_16091971-b0ef-48f5-bce1-a3196e01ad58_SetDate">
    <vt:lpwstr>2026-07-20T11:32:25Z</vt:lpwstr>
  </property>
  <property fmtid="{D5CDD505-2E9C-101B-9397-08002B2CF9AE}" pid="6" name="MSIP_Label_16091971-b0ef-48f5-bce1-a3196e01ad58_Method">
    <vt:lpwstr>Privileged</vt:lpwstr>
  </property>
  <property fmtid="{D5CDD505-2E9C-101B-9397-08002B2CF9AE}" pid="7" name="MSIP_Label_16091971-b0ef-48f5-bce1-a3196e01ad58_Name">
    <vt:lpwstr>C2 – Internal</vt:lpwstr>
  </property>
  <property fmtid="{D5CDD505-2E9C-101B-9397-08002B2CF9AE}" pid="8" name="MSIP_Label_16091971-b0ef-48f5-bce1-a3196e01ad58_SiteId">
    <vt:lpwstr>4c1d9e0f-5c27-4228-a35a-de7b4083ff7b</vt:lpwstr>
  </property>
  <property fmtid="{D5CDD505-2E9C-101B-9397-08002B2CF9AE}" pid="9" name="MSIP_Label_16091971-b0ef-48f5-bce1-a3196e01ad58_ActionId">
    <vt:lpwstr>605bc90f-3ea4-4f30-a088-d6cf71092803</vt:lpwstr>
  </property>
  <property fmtid="{D5CDD505-2E9C-101B-9397-08002B2CF9AE}" pid="10" name="MSIP_Label_16091971-b0ef-48f5-bce1-a3196e01ad58_ContentBits">
    <vt:lpwstr>0</vt:lpwstr>
  </property>
  <property fmtid="{D5CDD505-2E9C-101B-9397-08002B2CF9AE}" pid="11" name="MSIP_Label_16091971-b0ef-48f5-bce1-a3196e01ad58_Tag">
    <vt:lpwstr>10, 0, 1, 1</vt:lpwstr>
  </property>
</Properties>
</file>