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763F1" w14:textId="26030313" w:rsidR="0034131E" w:rsidRPr="00833D4F" w:rsidRDefault="00054F03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right" w:pos="8504"/>
        </w:tabs>
        <w:spacing w:line="254" w:lineRule="auto"/>
        <w:jc w:val="right"/>
        <w:rPr>
          <w:rFonts w:ascii="Century Gothic" w:eastAsia="Century Gothic" w:hAnsi="Century Gothic" w:cs="Century Gothic"/>
          <w:color w:val="000000"/>
          <w:sz w:val="28"/>
          <w:szCs w:val="28"/>
          <w:lang w:val="es-ES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0CF9CF7E" wp14:editId="0B8BA507">
            <wp:simplePos x="0" y="0"/>
            <wp:positionH relativeFrom="margin">
              <wp:align>left</wp:align>
            </wp:positionH>
            <wp:positionV relativeFrom="paragraph">
              <wp:posOffset>-448310</wp:posOffset>
            </wp:positionV>
            <wp:extent cx="1345997" cy="833933"/>
            <wp:effectExtent l="0" t="0" r="6985" b="4445"/>
            <wp:wrapNone/>
            <wp:docPr id="82793767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5997" cy="8339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0F9" w:rsidRPr="00833D4F">
        <w:rPr>
          <w:rFonts w:ascii="Century Gothic" w:eastAsia="Century Gothic" w:hAnsi="Century Gothic" w:cs="Century Gothic"/>
          <w:b/>
          <w:color w:val="000000"/>
          <w:sz w:val="28"/>
          <w:szCs w:val="28"/>
          <w:lang w:val="es-ES"/>
        </w:rPr>
        <w:t>Nota de prensa</w:t>
      </w:r>
    </w:p>
    <w:p w14:paraId="2721C22F" w14:textId="485A9A4A" w:rsidR="0034131E" w:rsidRPr="00833D4F" w:rsidRDefault="006F41E2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right"/>
        <w:rPr>
          <w:rFonts w:ascii="Century Gothic" w:eastAsia="Century Gothic" w:hAnsi="Century Gothic" w:cs="Century Gothic"/>
          <w:color w:val="000000"/>
          <w:sz w:val="28"/>
          <w:szCs w:val="28"/>
          <w:lang w:val="es-ES"/>
        </w:rPr>
      </w:pPr>
      <w:r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>12</w:t>
      </w:r>
      <w:r w:rsidR="00026093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 xml:space="preserve"> </w:t>
      </w:r>
      <w:r w:rsidR="00E660F9" w:rsidRPr="10C8913A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 xml:space="preserve">de </w:t>
      </w:r>
      <w:r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>mayo</w:t>
      </w:r>
      <w:r w:rsidR="5CA98C24" w:rsidRPr="10C8913A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 xml:space="preserve"> </w:t>
      </w:r>
      <w:r w:rsidR="00E660F9" w:rsidRPr="10C8913A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>de 202</w:t>
      </w:r>
      <w:r w:rsidR="00316012" w:rsidRPr="10C8913A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>6</w:t>
      </w:r>
    </w:p>
    <w:p w14:paraId="5523504D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709" w:hanging="709"/>
        <w:jc w:val="center"/>
        <w:rPr>
          <w:rFonts w:ascii="Century Gothic" w:eastAsia="Century Gothic" w:hAnsi="Century Gothic" w:cs="Century Gothic"/>
          <w:color w:val="162056"/>
          <w:sz w:val="48"/>
          <w:szCs w:val="48"/>
          <w:lang w:val="es-ES"/>
        </w:rPr>
      </w:pPr>
    </w:p>
    <w:p w14:paraId="7CB239D0" w14:textId="6ED010C8" w:rsidR="004C1815" w:rsidRDefault="00BF506B" w:rsidP="00BF506B">
      <w:pPr>
        <w:pStyle w:val="BulletLead-in2"/>
        <w:numPr>
          <w:ilvl w:val="0"/>
          <w:numId w:val="0"/>
        </w:numPr>
        <w:jc w:val="center"/>
        <w:rPr>
          <w:rFonts w:cs="Century Gothic"/>
          <w:color w:val="000000" w:themeColor="text1"/>
          <w:sz w:val="44"/>
          <w:szCs w:val="44"/>
          <w:lang w:val="es-ES"/>
        </w:rPr>
      </w:pPr>
      <w:r w:rsidRPr="00BF506B">
        <w:rPr>
          <w:rFonts w:cs="Century Gothic"/>
          <w:color w:val="000000" w:themeColor="text1"/>
          <w:sz w:val="44"/>
          <w:szCs w:val="44"/>
          <w:lang w:val="es-ES"/>
        </w:rPr>
        <w:t>La insatisfacción salarial se dispara en España: 3 de cada 4 profesionales no están satisfechos y más de un tercio se plantea cambiar de empresa</w:t>
      </w:r>
    </w:p>
    <w:p w14:paraId="36F11A89" w14:textId="77777777" w:rsidR="00BF506B" w:rsidRPr="009D71F7" w:rsidRDefault="00BF506B" w:rsidP="000B15B7">
      <w:pPr>
        <w:pStyle w:val="BulletLead-in2"/>
        <w:numPr>
          <w:ilvl w:val="0"/>
          <w:numId w:val="0"/>
        </w:numPr>
        <w:jc w:val="both"/>
        <w:rPr>
          <w:b/>
          <w:bCs/>
          <w:lang w:val="es-ES"/>
        </w:rPr>
      </w:pPr>
    </w:p>
    <w:p w14:paraId="17C80219" w14:textId="684482C9" w:rsidR="00072CD0" w:rsidRPr="0051220E" w:rsidRDefault="00072CD0" w:rsidP="00FE030E">
      <w:pPr>
        <w:pStyle w:val="BulletLead-in2"/>
        <w:numPr>
          <w:ilvl w:val="0"/>
          <w:numId w:val="9"/>
        </w:numPr>
        <w:ind w:left="360"/>
        <w:jc w:val="both"/>
        <w:rPr>
          <w:rFonts w:cs="Century Gothic"/>
          <w:b/>
          <w:bCs/>
          <w:lang w:val="es-ES"/>
        </w:rPr>
      </w:pPr>
      <w:r w:rsidRPr="0051220E">
        <w:rPr>
          <w:rFonts w:cs="Century Gothic"/>
          <w:b/>
          <w:bCs/>
          <w:lang w:val="es-ES"/>
        </w:rPr>
        <w:t>El 52,7 % acepta su retribución gracias a medidas de bienestar como beneficios sociales</w:t>
      </w:r>
      <w:r w:rsidR="000B6647" w:rsidRPr="0051220E">
        <w:rPr>
          <w:rFonts w:cs="Century Gothic"/>
          <w:b/>
          <w:bCs/>
          <w:lang w:val="es-ES"/>
        </w:rPr>
        <w:t xml:space="preserve"> y/o </w:t>
      </w:r>
      <w:r w:rsidR="00931369" w:rsidRPr="0051220E">
        <w:rPr>
          <w:rFonts w:cs="Century Gothic"/>
          <w:b/>
          <w:bCs/>
          <w:lang w:val="es-ES"/>
        </w:rPr>
        <w:t>retribución flexible</w:t>
      </w:r>
      <w:r w:rsidR="000B6647" w:rsidRPr="0051220E">
        <w:rPr>
          <w:rFonts w:cs="Century Gothic"/>
          <w:b/>
          <w:bCs/>
          <w:lang w:val="es-ES"/>
        </w:rPr>
        <w:t xml:space="preserve">, salud laboral o </w:t>
      </w:r>
      <w:r w:rsidRPr="0051220E">
        <w:rPr>
          <w:rFonts w:cs="Century Gothic"/>
          <w:b/>
          <w:bCs/>
          <w:lang w:val="es-ES"/>
        </w:rPr>
        <w:t>salario emocional, que se consolidan como el gran factor compensatorio</w:t>
      </w:r>
    </w:p>
    <w:p w14:paraId="7C9B727E" w14:textId="77777777" w:rsidR="00FE030E" w:rsidRPr="0051220E" w:rsidRDefault="00FE030E" w:rsidP="00FE030E">
      <w:pPr>
        <w:pStyle w:val="BulletLead-in2"/>
        <w:numPr>
          <w:ilvl w:val="0"/>
          <w:numId w:val="0"/>
        </w:numPr>
        <w:ind w:left="360"/>
        <w:jc w:val="both"/>
        <w:rPr>
          <w:rFonts w:cs="Century Gothic"/>
          <w:b/>
          <w:bCs/>
          <w:lang w:val="es-ES"/>
        </w:rPr>
      </w:pPr>
    </w:p>
    <w:p w14:paraId="72844CA6" w14:textId="5E158560" w:rsidR="00FE030E" w:rsidRPr="0051220E" w:rsidRDefault="00FE030E" w:rsidP="00FE030E">
      <w:pPr>
        <w:pStyle w:val="BulletLead-in2"/>
        <w:numPr>
          <w:ilvl w:val="0"/>
          <w:numId w:val="9"/>
        </w:numPr>
        <w:ind w:left="360"/>
        <w:jc w:val="both"/>
        <w:rPr>
          <w:rFonts w:cs="Century Gothic"/>
          <w:b/>
          <w:bCs/>
          <w:lang w:val="es-ES"/>
        </w:rPr>
      </w:pPr>
      <w:r w:rsidRPr="0051220E">
        <w:rPr>
          <w:rFonts w:cs="Century Gothic"/>
          <w:b/>
          <w:bCs/>
          <w:lang w:val="es-ES"/>
        </w:rPr>
        <w:t>La Generación Z, la más afectada: más de 8 de cada 10 sufre impacto en su salud emocional y la mitad ve comprometidos sus hábitos alimenticios</w:t>
      </w:r>
    </w:p>
    <w:p w14:paraId="24232464" w14:textId="77777777" w:rsidR="00072CD0" w:rsidRPr="0051220E" w:rsidRDefault="00072CD0" w:rsidP="00FE030E">
      <w:pPr>
        <w:pStyle w:val="BulletLead-in2"/>
        <w:numPr>
          <w:ilvl w:val="0"/>
          <w:numId w:val="0"/>
        </w:numPr>
        <w:ind w:left="1080"/>
        <w:jc w:val="both"/>
        <w:rPr>
          <w:rFonts w:cs="Century Gothic"/>
          <w:b/>
          <w:bCs/>
          <w:lang w:val="es-ES"/>
        </w:rPr>
      </w:pPr>
    </w:p>
    <w:p w14:paraId="2C064ED7" w14:textId="3280B30A" w:rsidR="00072CD0" w:rsidRPr="00266DE6" w:rsidRDefault="00072CD0" w:rsidP="00266DE6">
      <w:pPr>
        <w:pStyle w:val="BulletLead-in2"/>
        <w:numPr>
          <w:ilvl w:val="0"/>
          <w:numId w:val="0"/>
        </w:numPr>
        <w:ind w:left="1080"/>
        <w:jc w:val="both"/>
        <w:rPr>
          <w:rFonts w:eastAsia="Century Gothic" w:cs="Century Gothic"/>
          <w:lang w:val="es-ES"/>
        </w:rPr>
      </w:pPr>
    </w:p>
    <w:p w14:paraId="2AE636BF" w14:textId="14720015" w:rsidR="00F12943" w:rsidRPr="0051220E" w:rsidRDefault="006B6631" w:rsidP="006B6631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51220E">
        <w:rPr>
          <w:rFonts w:ascii="Century Gothic" w:eastAsia="Century Gothic" w:hAnsi="Century Gothic" w:cs="Century Gothic"/>
          <w:color w:val="auto"/>
          <w:lang w:val="es-ES"/>
        </w:rPr>
        <w:t xml:space="preserve">La relación entre el talento y el salario en España atraviesa un momento crítico. </w:t>
      </w:r>
      <w:r w:rsidRPr="0051220E">
        <w:rPr>
          <w:rFonts w:ascii="Century Gothic" w:eastAsia="Century Gothic" w:hAnsi="Century Gothic" w:cs="Century Gothic"/>
          <w:b/>
          <w:bCs/>
          <w:color w:val="auto"/>
          <w:lang w:val="es-ES"/>
        </w:rPr>
        <w:t>Tres de cada cuatro profesionales (75,6 %) se declaran insatisfechos con su sueldo en 2026</w:t>
      </w:r>
      <w:r w:rsidRPr="0051220E">
        <w:rPr>
          <w:rFonts w:ascii="Century Gothic" w:eastAsia="Century Gothic" w:hAnsi="Century Gothic" w:cs="Century Gothic"/>
          <w:color w:val="auto"/>
          <w:lang w:val="es-ES"/>
        </w:rPr>
        <w:t xml:space="preserve">, un dato que marca un máximo histórico y que supone </w:t>
      </w:r>
      <w:r w:rsidRPr="0051220E">
        <w:rPr>
          <w:rFonts w:ascii="Century Gothic" w:eastAsia="Century Gothic" w:hAnsi="Century Gothic" w:cs="Century Gothic"/>
          <w:b/>
          <w:bCs/>
          <w:color w:val="auto"/>
          <w:lang w:val="es-ES"/>
        </w:rPr>
        <w:t>un fuerte incremento frente al 50,3 % registrado el año anterior</w:t>
      </w:r>
      <w:r w:rsidRPr="0051220E">
        <w:rPr>
          <w:rFonts w:ascii="Century Gothic" w:eastAsia="Century Gothic" w:hAnsi="Century Gothic" w:cs="Century Gothic"/>
          <w:color w:val="auto"/>
          <w:lang w:val="es-ES"/>
        </w:rPr>
        <w:t xml:space="preserve">. Así lo revela el </w:t>
      </w:r>
      <w:r w:rsidRPr="0051220E">
        <w:rPr>
          <w:rFonts w:ascii="Century Gothic" w:eastAsia="Century Gothic" w:hAnsi="Century Gothic" w:cs="Century Gothic"/>
          <w:b/>
          <w:bCs/>
          <w:color w:val="auto"/>
          <w:lang w:val="es-ES"/>
        </w:rPr>
        <w:t>Estudio sobre Bienestar y Salud laboral en España 2026</w:t>
      </w:r>
      <w:r w:rsidRPr="0051220E">
        <w:rPr>
          <w:rFonts w:ascii="Century Gothic" w:eastAsia="Century Gothic" w:hAnsi="Century Gothic" w:cs="Century Gothic"/>
          <w:color w:val="auto"/>
          <w:lang w:val="es-ES"/>
        </w:rPr>
        <w:t xml:space="preserve">, elaborado por </w:t>
      </w:r>
      <w:r w:rsidRPr="0051220E">
        <w:rPr>
          <w:rFonts w:ascii="Century Gothic" w:eastAsia="Century Gothic" w:hAnsi="Century Gothic" w:cs="Century Gothic"/>
          <w:b/>
          <w:bCs/>
          <w:color w:val="auto"/>
          <w:lang w:val="es-ES"/>
        </w:rPr>
        <w:t>Edenred</w:t>
      </w:r>
      <w:r w:rsidRPr="0051220E">
        <w:rPr>
          <w:rFonts w:ascii="Century Gothic" w:eastAsia="Century Gothic" w:hAnsi="Century Gothic" w:cs="Century Gothic"/>
          <w:color w:val="auto"/>
          <w:lang w:val="es-ES"/>
        </w:rPr>
        <w:t xml:space="preserve">, plataforma digital </w:t>
      </w:r>
      <w:proofErr w:type="spellStart"/>
      <w:r w:rsidRPr="0051220E">
        <w:rPr>
          <w:rFonts w:ascii="Century Gothic" w:eastAsia="Century Gothic" w:hAnsi="Century Gothic" w:cs="Century Gothic"/>
          <w:color w:val="auto"/>
          <w:lang w:val="es-ES"/>
        </w:rPr>
        <w:t>multisolución</w:t>
      </w:r>
      <w:proofErr w:type="spellEnd"/>
      <w:r w:rsidRPr="0051220E">
        <w:rPr>
          <w:rFonts w:ascii="Century Gothic" w:eastAsia="Century Gothic" w:hAnsi="Century Gothic" w:cs="Century Gothic"/>
          <w:color w:val="auto"/>
          <w:lang w:val="es-ES"/>
        </w:rPr>
        <w:t xml:space="preserve"> especializada en beneficios sociales y </w:t>
      </w:r>
      <w:proofErr w:type="spellStart"/>
      <w:r w:rsidRPr="0051220E">
        <w:rPr>
          <w:rFonts w:ascii="Century Gothic" w:eastAsia="Century Gothic" w:hAnsi="Century Gothic" w:cs="Century Gothic"/>
          <w:color w:val="auto"/>
          <w:lang w:val="es-ES"/>
        </w:rPr>
        <w:t>employee</w:t>
      </w:r>
      <w:proofErr w:type="spellEnd"/>
      <w:r w:rsidRPr="0051220E">
        <w:rPr>
          <w:rFonts w:ascii="Century Gothic" w:eastAsia="Century Gothic" w:hAnsi="Century Gothic" w:cs="Century Gothic"/>
          <w:color w:val="auto"/>
          <w:lang w:val="es-ES"/>
        </w:rPr>
        <w:t xml:space="preserve"> </w:t>
      </w:r>
      <w:proofErr w:type="spellStart"/>
      <w:r w:rsidRPr="0051220E">
        <w:rPr>
          <w:rFonts w:ascii="Century Gothic" w:eastAsia="Century Gothic" w:hAnsi="Century Gothic" w:cs="Century Gothic"/>
          <w:color w:val="auto"/>
          <w:lang w:val="es-ES"/>
        </w:rPr>
        <w:t>engagement</w:t>
      </w:r>
      <w:proofErr w:type="spellEnd"/>
      <w:r w:rsidRPr="0051220E">
        <w:rPr>
          <w:rFonts w:ascii="Century Gothic" w:eastAsia="Century Gothic" w:hAnsi="Century Gothic" w:cs="Century Gothic"/>
          <w:color w:val="auto"/>
          <w:lang w:val="es-ES"/>
        </w:rPr>
        <w:t xml:space="preserve">, junto a </w:t>
      </w:r>
      <w:r w:rsidRPr="0051220E">
        <w:rPr>
          <w:rFonts w:ascii="Century Gothic" w:eastAsia="Century Gothic" w:hAnsi="Century Gothic" w:cs="Century Gothic"/>
          <w:b/>
          <w:bCs/>
          <w:color w:val="auto"/>
          <w:lang w:val="es-ES"/>
        </w:rPr>
        <w:t>Savia</w:t>
      </w:r>
      <w:r w:rsidRPr="0051220E">
        <w:rPr>
          <w:rFonts w:ascii="Century Gothic" w:eastAsia="Century Gothic" w:hAnsi="Century Gothic" w:cs="Century Gothic"/>
          <w:color w:val="auto"/>
          <w:lang w:val="es-ES"/>
        </w:rPr>
        <w:t>, asesores con soluciones de salud y bienestar de MAPFRE.</w:t>
      </w:r>
    </w:p>
    <w:p w14:paraId="56A87D72" w14:textId="6B6E05EF" w:rsidR="00072CD0" w:rsidRPr="0051220E" w:rsidRDefault="00072CD0" w:rsidP="00072CD0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674646EF" w14:textId="5564064C" w:rsidR="00E76359" w:rsidRPr="00760F81" w:rsidRDefault="00E732C3" w:rsidP="00A73751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  <w:r w:rsidRPr="0051220E">
        <w:rPr>
          <w:rFonts w:ascii="Century Gothic" w:eastAsia="Century Gothic" w:hAnsi="Century Gothic" w:cs="Century Gothic"/>
          <w:color w:val="auto"/>
          <w:lang w:val="es-ES"/>
        </w:rPr>
        <w:t>Sin embargo, el dato más relevante no es solo el aumento de la insatisfacción, sino el cambio en la forma en la que el talento la gestiona</w:t>
      </w:r>
      <w:r w:rsidRPr="0051220E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. </w:t>
      </w:r>
      <w:r w:rsidRPr="00760F81">
        <w:rPr>
          <w:rFonts w:ascii="Century Gothic" w:eastAsia="Century Gothic" w:hAnsi="Century Gothic" w:cs="Century Gothic"/>
          <w:b/>
          <w:bCs/>
          <w:color w:val="auto"/>
          <w:lang w:val="es-ES"/>
        </w:rPr>
        <w:t>Más de la mitad, concretamente un 52,7 %, reconoce que acepta un salario que no le satisface gracias a las condiciones de bienestar laboral que le ofrece su empresa</w:t>
      </w:r>
      <w:r w:rsidRPr="00760F81">
        <w:rPr>
          <w:rFonts w:ascii="Century Gothic" w:eastAsia="Century Gothic" w:hAnsi="Century Gothic" w:cs="Century Gothic"/>
          <w:color w:val="auto"/>
          <w:lang w:val="es-ES"/>
        </w:rPr>
        <w:t xml:space="preserve">, como la retribución flexible, el salario emocional o las iniciativas de salud laboral. Este fenómeno evidencia una transformación estructural del mercado laboral: </w:t>
      </w:r>
      <w:r w:rsidRPr="00760F81">
        <w:rPr>
          <w:rFonts w:ascii="Century Gothic" w:eastAsia="Century Gothic" w:hAnsi="Century Gothic" w:cs="Century Gothic"/>
          <w:b/>
          <w:bCs/>
          <w:color w:val="auto"/>
          <w:lang w:val="es-ES"/>
        </w:rPr>
        <w:t>el bienestar deja de ser un complemento para convertirse en el principal factor que equilibra la percepción salarial</w:t>
      </w:r>
      <w:r w:rsidRPr="00760F81">
        <w:rPr>
          <w:rFonts w:ascii="Century Gothic" w:eastAsia="Century Gothic" w:hAnsi="Century Gothic" w:cs="Century Gothic"/>
          <w:color w:val="auto"/>
          <w:lang w:val="es-ES"/>
        </w:rPr>
        <w:t xml:space="preserve">, especialmente entre los </w:t>
      </w:r>
      <w:proofErr w:type="spellStart"/>
      <w:r w:rsidRPr="00760F81">
        <w:rPr>
          <w:rFonts w:ascii="Century Gothic" w:eastAsia="Century Gothic" w:hAnsi="Century Gothic" w:cs="Century Gothic"/>
          <w:b/>
          <w:bCs/>
          <w:color w:val="auto"/>
          <w:lang w:val="es-ES"/>
        </w:rPr>
        <w:t>Millennials</w:t>
      </w:r>
      <w:proofErr w:type="spellEnd"/>
      <w:r w:rsidRPr="00760F81">
        <w:rPr>
          <w:rFonts w:ascii="Century Gothic" w:eastAsia="Century Gothic" w:hAnsi="Century Gothic" w:cs="Century Gothic"/>
          <w:color w:val="auto"/>
          <w:lang w:val="es-ES"/>
        </w:rPr>
        <w:t xml:space="preserve">, donde este peso alcanza el </w:t>
      </w:r>
      <w:r w:rsidRPr="00760F81">
        <w:rPr>
          <w:rFonts w:ascii="Century Gothic" w:eastAsia="Century Gothic" w:hAnsi="Century Gothic" w:cs="Century Gothic"/>
          <w:b/>
          <w:bCs/>
          <w:color w:val="auto"/>
          <w:lang w:val="es-ES"/>
        </w:rPr>
        <w:t>53,3 %.</w:t>
      </w:r>
    </w:p>
    <w:p w14:paraId="25B5E062" w14:textId="77777777" w:rsidR="00801E8F" w:rsidRDefault="00801E8F" w:rsidP="00801E8F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</w:p>
    <w:p w14:paraId="3B9A6317" w14:textId="131B9F2B" w:rsidR="00801E8F" w:rsidRPr="00801E8F" w:rsidRDefault="00801E8F" w:rsidP="00801E8F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801E8F">
        <w:rPr>
          <w:rFonts w:ascii="Century Gothic" w:eastAsia="Century Gothic" w:hAnsi="Century Gothic" w:cs="Century Gothic"/>
          <w:b/>
          <w:bCs/>
          <w:color w:val="auto"/>
          <w:lang w:val="es-ES"/>
        </w:rPr>
        <w:t>El gran riesgo: una fuga de talento cada vez más real</w:t>
      </w:r>
    </w:p>
    <w:p w14:paraId="7016F9E5" w14:textId="77777777" w:rsidR="00E732C3" w:rsidRDefault="00E732C3" w:rsidP="00A73751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04D841A5" w14:textId="084896C2" w:rsidR="00801E8F" w:rsidRPr="009F081E" w:rsidRDefault="00E76359" w:rsidP="00E76359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E76359">
        <w:rPr>
          <w:rFonts w:ascii="Century Gothic" w:eastAsia="Century Gothic" w:hAnsi="Century Gothic" w:cs="Century Gothic"/>
          <w:color w:val="auto"/>
          <w:lang w:val="es-ES"/>
        </w:rPr>
        <w:t xml:space="preserve">No obstante, este equilibrio tiene un límite claro. Cuando el salario y el bienestar dejan de compensarse, aumenta la intención de cambio. El estudio señala que </w:t>
      </w:r>
      <w:r w:rsidR="00BE6107">
        <w:rPr>
          <w:rFonts w:ascii="Century Gothic" w:eastAsia="Century Gothic" w:hAnsi="Century Gothic" w:cs="Century Gothic"/>
          <w:b/>
          <w:bCs/>
          <w:color w:val="auto"/>
          <w:lang w:val="es-ES"/>
        </w:rPr>
        <w:t>4 de cada 10</w:t>
      </w:r>
      <w:r w:rsidRPr="00E76359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 </w:t>
      </w:r>
      <w:r w:rsidR="00BE6107">
        <w:rPr>
          <w:rFonts w:ascii="Century Gothic" w:eastAsia="Century Gothic" w:hAnsi="Century Gothic" w:cs="Century Gothic"/>
          <w:b/>
          <w:bCs/>
          <w:color w:val="auto"/>
          <w:lang w:val="es-ES"/>
        </w:rPr>
        <w:t>profesionales (</w:t>
      </w:r>
      <w:r w:rsidRPr="00E76359">
        <w:rPr>
          <w:rFonts w:ascii="Century Gothic" w:eastAsia="Century Gothic" w:hAnsi="Century Gothic" w:cs="Century Gothic"/>
          <w:b/>
          <w:bCs/>
          <w:color w:val="auto"/>
          <w:lang w:val="es-ES"/>
        </w:rPr>
        <w:t>36,6 %</w:t>
      </w:r>
      <w:r w:rsidR="00BE6107">
        <w:rPr>
          <w:rFonts w:ascii="Century Gothic" w:eastAsia="Century Gothic" w:hAnsi="Century Gothic" w:cs="Century Gothic"/>
          <w:b/>
          <w:bCs/>
          <w:color w:val="auto"/>
          <w:lang w:val="es-ES"/>
        </w:rPr>
        <w:t>)</w:t>
      </w:r>
      <w:r w:rsidRPr="00E76359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 se plantea cambiar de empresa si no mejora su compensación</w:t>
      </w:r>
      <w:r w:rsidRPr="00E76359">
        <w:rPr>
          <w:rFonts w:ascii="Century Gothic" w:eastAsia="Century Gothic" w:hAnsi="Century Gothic" w:cs="Century Gothic"/>
          <w:color w:val="auto"/>
          <w:lang w:val="es-ES"/>
        </w:rPr>
        <w:t xml:space="preserve">, consolidando este factor como uno de los principales motores de movilidad laboral. Esta tendencia </w:t>
      </w:r>
      <w:r w:rsidR="000279E7" w:rsidRPr="00760F81">
        <w:rPr>
          <w:rFonts w:ascii="Century Gothic" w:eastAsia="Century Gothic" w:hAnsi="Century Gothic" w:cs="Century Gothic"/>
          <w:color w:val="auto"/>
          <w:lang w:val="es-ES"/>
        </w:rPr>
        <w:t>se intensifica especialmente</w:t>
      </w:r>
      <w:r w:rsidRPr="00E76359">
        <w:rPr>
          <w:rFonts w:ascii="Century Gothic" w:eastAsia="Century Gothic" w:hAnsi="Century Gothic" w:cs="Century Gothic"/>
          <w:color w:val="auto"/>
          <w:lang w:val="es-ES"/>
        </w:rPr>
        <w:t xml:space="preserve"> entre los perfiles más jóvenes, donde </w:t>
      </w:r>
      <w:r w:rsidRPr="00E76359">
        <w:rPr>
          <w:rFonts w:ascii="Century Gothic" w:eastAsia="Century Gothic" w:hAnsi="Century Gothic" w:cs="Century Gothic"/>
          <w:b/>
          <w:bCs/>
          <w:color w:val="auto"/>
          <w:lang w:val="es-ES"/>
        </w:rPr>
        <w:t>más de la mitad de la Generación Z estaría dispuesta a cambiar de empresa</w:t>
      </w:r>
      <w:r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 </w:t>
      </w:r>
      <w:r w:rsidRPr="009F081E">
        <w:rPr>
          <w:rFonts w:ascii="Century Gothic" w:eastAsia="Century Gothic" w:hAnsi="Century Gothic" w:cs="Century Gothic"/>
          <w:b/>
          <w:bCs/>
          <w:color w:val="auto"/>
          <w:lang w:val="es-ES"/>
        </w:rPr>
        <w:t>(52</w:t>
      </w:r>
      <w:r w:rsidR="00463785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,6 </w:t>
      </w:r>
      <w:r w:rsidRPr="009F081E">
        <w:rPr>
          <w:rFonts w:ascii="Century Gothic" w:eastAsia="Century Gothic" w:hAnsi="Century Gothic" w:cs="Century Gothic"/>
          <w:b/>
          <w:bCs/>
          <w:color w:val="auto"/>
          <w:lang w:val="es-ES"/>
        </w:rPr>
        <w:t>%)</w:t>
      </w:r>
      <w:r w:rsidR="00673AA3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 en los próximos 24 meses</w:t>
      </w:r>
      <w:r w:rsidRPr="00E76359">
        <w:rPr>
          <w:rFonts w:ascii="Century Gothic" w:eastAsia="Century Gothic" w:hAnsi="Century Gothic" w:cs="Century Gothic"/>
          <w:color w:val="auto"/>
          <w:lang w:val="es-ES"/>
        </w:rPr>
        <w:t xml:space="preserve">. </w:t>
      </w:r>
    </w:p>
    <w:p w14:paraId="5C91AA88" w14:textId="77777777" w:rsidR="00E76359" w:rsidRDefault="00E76359" w:rsidP="00E76359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57AC0D74" w14:textId="7E6AD8DC" w:rsidR="007D6B86" w:rsidRDefault="003C379A" w:rsidP="00E76359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  <w:r w:rsidRPr="44AB56BC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Alta demanda, </w:t>
      </w:r>
      <w:r w:rsidR="4DD2CB84" w:rsidRPr="44AB56BC">
        <w:rPr>
          <w:rFonts w:ascii="Century Gothic" w:eastAsia="Century Gothic" w:hAnsi="Century Gothic" w:cs="Century Gothic"/>
          <w:b/>
          <w:bCs/>
          <w:color w:val="auto"/>
          <w:lang w:val="es-ES"/>
        </w:rPr>
        <w:t>conocimiento limitado</w:t>
      </w:r>
      <w:r w:rsidRPr="44AB56BC">
        <w:rPr>
          <w:rFonts w:ascii="Century Gothic" w:eastAsia="Century Gothic" w:hAnsi="Century Gothic" w:cs="Century Gothic"/>
          <w:b/>
          <w:bCs/>
          <w:color w:val="auto"/>
          <w:lang w:val="es-ES"/>
        </w:rPr>
        <w:t>: la retribución flexible, el gran aliado pendiente de las empresas</w:t>
      </w:r>
    </w:p>
    <w:p w14:paraId="16E4B39E" w14:textId="77777777" w:rsidR="003C379A" w:rsidRPr="00DB1135" w:rsidRDefault="003C379A" w:rsidP="00E76359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</w:p>
    <w:p w14:paraId="13AB4A6B" w14:textId="6B6F9A4C" w:rsidR="007549BB" w:rsidRDefault="007549BB" w:rsidP="44AB56BC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44AB56BC">
        <w:rPr>
          <w:rFonts w:ascii="Century Gothic" w:eastAsia="Century Gothic" w:hAnsi="Century Gothic" w:cs="Century Gothic"/>
          <w:color w:val="auto"/>
          <w:lang w:val="es-ES"/>
        </w:rPr>
        <w:lastRenderedPageBreak/>
        <w:t xml:space="preserve">En este contexto, la retribución flexible se posiciona como una de las herramientas más eficaces para mejorar la percepción salarial sin incrementar los costes empresariales. </w:t>
      </w:r>
      <w:r w:rsidR="00691AE3" w:rsidRPr="00760F81">
        <w:rPr>
          <w:rFonts w:ascii="Century Gothic" w:eastAsia="Century Gothic" w:hAnsi="Century Gothic" w:cs="Century Gothic"/>
          <w:color w:val="auto"/>
          <w:lang w:val="es-ES"/>
        </w:rPr>
        <w:t xml:space="preserve">Actualmente, </w:t>
      </w:r>
      <w:r w:rsidR="00691AE3" w:rsidRPr="00760F81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un 58 % </w:t>
      </w:r>
      <w:r w:rsidR="453F7431" w:rsidRPr="00760F81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del talento </w:t>
      </w:r>
      <w:r w:rsidR="00691AE3" w:rsidRPr="00760F81">
        <w:rPr>
          <w:rFonts w:ascii="Century Gothic" w:eastAsia="Century Gothic" w:hAnsi="Century Gothic" w:cs="Century Gothic"/>
          <w:b/>
          <w:bCs/>
          <w:color w:val="auto"/>
          <w:lang w:val="es-ES"/>
        </w:rPr>
        <w:t>reconoce no conocer bien sus beneficios</w:t>
      </w:r>
      <w:r w:rsidR="00691AE3" w:rsidRPr="00760F81">
        <w:rPr>
          <w:rFonts w:ascii="Century Gothic" w:eastAsia="Century Gothic" w:hAnsi="Century Gothic" w:cs="Century Gothic"/>
          <w:color w:val="auto"/>
          <w:lang w:val="es-ES"/>
        </w:rPr>
        <w:t xml:space="preserve">, lo que evidencia un </w:t>
      </w:r>
      <w:r w:rsidR="00691AE3" w:rsidRPr="00760F81">
        <w:rPr>
          <w:rFonts w:ascii="Century Gothic" w:eastAsia="Century Gothic" w:hAnsi="Century Gothic" w:cs="Century Gothic"/>
          <w:b/>
          <w:bCs/>
          <w:color w:val="auto"/>
          <w:lang w:val="es-ES"/>
        </w:rPr>
        <w:t>amplio margen de crecimiento y la necesidad de reforzar la información financiera</w:t>
      </w:r>
      <w:r w:rsidR="00691AE3" w:rsidRPr="00760F81">
        <w:rPr>
          <w:rFonts w:ascii="Century Gothic" w:eastAsia="Century Gothic" w:hAnsi="Century Gothic" w:cs="Century Gothic"/>
          <w:color w:val="auto"/>
          <w:lang w:val="es-ES"/>
        </w:rPr>
        <w:t xml:space="preserve"> dentro de las organizaciones. </w:t>
      </w:r>
    </w:p>
    <w:p w14:paraId="58BB5835" w14:textId="3CE38E3E" w:rsidR="44AB56BC" w:rsidRPr="00760F81" w:rsidRDefault="44AB56BC" w:rsidP="44AB56BC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48226E4C" w14:textId="4468B982" w:rsidR="6A4B926E" w:rsidRDefault="6A4B926E" w:rsidP="6A997622">
      <w:pPr>
        <w:jc w:val="both"/>
        <w:rPr>
          <w:rFonts w:ascii="Century Gothic" w:eastAsia="Century Gothic" w:hAnsi="Century Gothic" w:cs="Century Gothic"/>
          <w:lang w:val="es-ES"/>
        </w:rPr>
      </w:pPr>
      <w:r w:rsidRPr="6A997622">
        <w:rPr>
          <w:rFonts w:ascii="Century Gothic" w:eastAsia="Century Gothic" w:hAnsi="Century Gothic" w:cs="Century Gothic"/>
          <w:color w:val="auto"/>
          <w:lang w:val="es-ES"/>
        </w:rPr>
        <w:t xml:space="preserve">En cuanto a los perfiles, son las generaciones mayores, especialmente los </w:t>
      </w:r>
      <w:r w:rsidRPr="6A997622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Baby </w:t>
      </w:r>
      <w:proofErr w:type="spellStart"/>
      <w:r w:rsidRPr="6A997622">
        <w:rPr>
          <w:rFonts w:ascii="Century Gothic" w:eastAsia="Century Gothic" w:hAnsi="Century Gothic" w:cs="Century Gothic"/>
          <w:b/>
          <w:bCs/>
          <w:color w:val="auto"/>
          <w:lang w:val="es-ES"/>
        </w:rPr>
        <w:t>Boomers</w:t>
      </w:r>
      <w:proofErr w:type="spellEnd"/>
      <w:r w:rsidRPr="6A997622">
        <w:rPr>
          <w:rFonts w:ascii="Century Gothic" w:eastAsia="Century Gothic" w:hAnsi="Century Gothic" w:cs="Century Gothic"/>
          <w:color w:val="auto"/>
          <w:lang w:val="es-ES"/>
        </w:rPr>
        <w:t>, l</w:t>
      </w:r>
      <w:r w:rsidR="3F923CFA" w:rsidRPr="6A997622">
        <w:rPr>
          <w:rFonts w:ascii="Century Gothic" w:eastAsia="Century Gothic" w:hAnsi="Century Gothic" w:cs="Century Gothic"/>
          <w:color w:val="auto"/>
          <w:lang w:val="es-ES"/>
        </w:rPr>
        <w:t>a</w:t>
      </w:r>
      <w:r w:rsidRPr="6A997622">
        <w:rPr>
          <w:rFonts w:ascii="Century Gothic" w:eastAsia="Century Gothic" w:hAnsi="Century Gothic" w:cs="Century Gothic"/>
          <w:color w:val="auto"/>
          <w:lang w:val="es-ES"/>
        </w:rPr>
        <w:t xml:space="preserve">s que más acusan esta falta de información, con </w:t>
      </w:r>
      <w:r w:rsidRPr="6A997622">
        <w:rPr>
          <w:rFonts w:ascii="Century Gothic" w:eastAsia="Century Gothic" w:hAnsi="Century Gothic" w:cs="Century Gothic"/>
          <w:b/>
          <w:bCs/>
          <w:color w:val="auto"/>
          <w:lang w:val="es-ES"/>
        </w:rPr>
        <w:t>hasta un 6</w:t>
      </w:r>
      <w:r w:rsidR="052E2D54" w:rsidRPr="6A997622">
        <w:rPr>
          <w:rFonts w:ascii="Century Gothic" w:eastAsia="Century Gothic" w:hAnsi="Century Gothic" w:cs="Century Gothic"/>
          <w:b/>
          <w:bCs/>
          <w:color w:val="auto"/>
          <w:lang w:val="es-ES"/>
        </w:rPr>
        <w:t>7</w:t>
      </w:r>
      <w:r w:rsidRPr="6A997622">
        <w:rPr>
          <w:rFonts w:ascii="Century Gothic" w:eastAsia="Century Gothic" w:hAnsi="Century Gothic" w:cs="Century Gothic"/>
          <w:b/>
          <w:bCs/>
          <w:color w:val="auto"/>
          <w:lang w:val="es-ES"/>
        </w:rPr>
        <w:t>,4% que desconoce las ventajas</w:t>
      </w:r>
      <w:r w:rsidRPr="6A997622">
        <w:rPr>
          <w:rFonts w:ascii="Century Gothic" w:eastAsia="Century Gothic" w:hAnsi="Century Gothic" w:cs="Century Gothic"/>
          <w:color w:val="auto"/>
          <w:lang w:val="es-ES"/>
        </w:rPr>
        <w:t xml:space="preserve"> fiscales de la retribución flexible. </w:t>
      </w:r>
      <w:r w:rsidR="48B9734A" w:rsidRPr="6A997622">
        <w:rPr>
          <w:rFonts w:ascii="Century Gothic" w:eastAsia="Century Gothic" w:hAnsi="Century Gothic" w:cs="Century Gothic"/>
          <w:color w:val="000000" w:themeColor="text1"/>
          <w:lang w:val="es"/>
        </w:rPr>
        <w:t xml:space="preserve">Mientras tanto, perfiles como los </w:t>
      </w:r>
      <w:proofErr w:type="spellStart"/>
      <w:r w:rsidR="48B9734A" w:rsidRPr="6A997622">
        <w:rPr>
          <w:rFonts w:ascii="Century Gothic" w:eastAsia="Century Gothic" w:hAnsi="Century Gothic" w:cs="Century Gothic"/>
          <w:b/>
          <w:bCs/>
          <w:color w:val="000000" w:themeColor="text1"/>
          <w:lang w:val="es"/>
        </w:rPr>
        <w:t>Millenials</w:t>
      </w:r>
      <w:proofErr w:type="spellEnd"/>
      <w:r w:rsidR="48B9734A" w:rsidRPr="6A997622">
        <w:rPr>
          <w:rFonts w:ascii="Century Gothic" w:eastAsia="Century Gothic" w:hAnsi="Century Gothic" w:cs="Century Gothic"/>
          <w:color w:val="000000" w:themeColor="text1"/>
          <w:lang w:val="es"/>
        </w:rPr>
        <w:t xml:space="preserve">, cuya entrada al mercado laboral tuvo lugar en un momento en el que este tipo de producto estaba más asentado, muestran un </w:t>
      </w:r>
      <w:r w:rsidR="48B9734A" w:rsidRPr="6A997622">
        <w:rPr>
          <w:rFonts w:ascii="Century Gothic" w:eastAsia="Century Gothic" w:hAnsi="Century Gothic" w:cs="Century Gothic"/>
          <w:b/>
          <w:bCs/>
          <w:color w:val="000000" w:themeColor="text1"/>
          <w:lang w:val="es"/>
        </w:rPr>
        <w:t>mayor conocimiento (46,5%).</w:t>
      </w:r>
      <w:r w:rsidR="48B9734A" w:rsidRPr="6A997622">
        <w:rPr>
          <w:rFonts w:ascii="Century Gothic" w:eastAsia="Century Gothic" w:hAnsi="Century Gothic" w:cs="Century Gothic"/>
          <w:b/>
          <w:bCs/>
          <w:lang w:val="es-ES"/>
        </w:rPr>
        <w:t xml:space="preserve"> </w:t>
      </w:r>
    </w:p>
    <w:p w14:paraId="5D1B1B94" w14:textId="0B0CEA8B" w:rsidR="44AB56BC" w:rsidRDefault="44AB56BC" w:rsidP="44AB56BC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596E4001" w14:textId="621EE1CB" w:rsidR="6FC62043" w:rsidRDefault="6FC62043" w:rsidP="44AB56BC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6A997622">
        <w:rPr>
          <w:rFonts w:ascii="Century Gothic" w:eastAsia="Century Gothic" w:hAnsi="Century Gothic" w:cs="Century Gothic"/>
          <w:color w:val="auto"/>
          <w:lang w:val="es-ES"/>
        </w:rPr>
        <w:t xml:space="preserve">Asimismo, son los perfiles con </w:t>
      </w:r>
      <w:r w:rsidRPr="6A997622">
        <w:rPr>
          <w:rFonts w:ascii="Century Gothic" w:eastAsia="Century Gothic" w:hAnsi="Century Gothic" w:cs="Century Gothic"/>
          <w:b/>
          <w:bCs/>
          <w:color w:val="auto"/>
          <w:lang w:val="es-ES"/>
        </w:rPr>
        <w:t>menores ingresos</w:t>
      </w:r>
      <w:r w:rsidRPr="6A997622">
        <w:rPr>
          <w:rFonts w:ascii="Century Gothic" w:eastAsia="Century Gothic" w:hAnsi="Century Gothic" w:cs="Century Gothic"/>
          <w:color w:val="auto"/>
          <w:lang w:val="es-ES"/>
        </w:rPr>
        <w:t xml:space="preserve"> y con un </w:t>
      </w:r>
      <w:r w:rsidRPr="6A997622">
        <w:rPr>
          <w:rFonts w:ascii="Century Gothic" w:eastAsia="Century Gothic" w:hAnsi="Century Gothic" w:cs="Century Gothic"/>
          <w:b/>
          <w:bCs/>
          <w:color w:val="auto"/>
          <w:lang w:val="es-ES"/>
        </w:rPr>
        <w:t>nivel inferior de estu</w:t>
      </w:r>
      <w:r w:rsidR="63EBA826" w:rsidRPr="6A997622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dios </w:t>
      </w:r>
      <w:r w:rsidR="63EBA826" w:rsidRPr="6A997622">
        <w:rPr>
          <w:rFonts w:ascii="Century Gothic" w:eastAsia="Century Gothic" w:hAnsi="Century Gothic" w:cs="Century Gothic"/>
          <w:color w:val="auto"/>
          <w:lang w:val="es-ES"/>
        </w:rPr>
        <w:t xml:space="preserve">en los que encontramos una mayor barrera. Así, </w:t>
      </w:r>
      <w:r w:rsidR="63EBA826" w:rsidRPr="6A997622">
        <w:rPr>
          <w:rFonts w:ascii="Century Gothic" w:eastAsia="Century Gothic" w:hAnsi="Century Gothic" w:cs="Century Gothic"/>
          <w:b/>
          <w:bCs/>
          <w:color w:val="auto"/>
          <w:lang w:val="es-ES"/>
        </w:rPr>
        <w:t>un 69,4% de las personas que cobran menos de 2.000 euros</w:t>
      </w:r>
      <w:r w:rsidR="5E5C0721" w:rsidRPr="6A997622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 afirma no estar al tanto</w:t>
      </w:r>
      <w:r w:rsidR="5E5C0721" w:rsidRPr="6A997622">
        <w:rPr>
          <w:rFonts w:ascii="Century Gothic" w:eastAsia="Century Gothic" w:hAnsi="Century Gothic" w:cs="Century Gothic"/>
          <w:color w:val="auto"/>
          <w:lang w:val="es-ES"/>
        </w:rPr>
        <w:t xml:space="preserve"> de los beneficios de este servicio, mientras que en </w:t>
      </w:r>
      <w:r w:rsidR="5E5C0721" w:rsidRPr="6A997622">
        <w:rPr>
          <w:rFonts w:ascii="Century Gothic" w:eastAsia="Century Gothic" w:hAnsi="Century Gothic" w:cs="Century Gothic"/>
          <w:b/>
          <w:bCs/>
          <w:color w:val="auto"/>
          <w:lang w:val="es-ES"/>
        </w:rPr>
        <w:t>los perfiles con estudios básicos este porcentaje alcanza el 82,4%</w:t>
      </w:r>
      <w:r w:rsidR="5E5C0721" w:rsidRPr="6A997622">
        <w:rPr>
          <w:rFonts w:ascii="Century Gothic" w:eastAsia="Century Gothic" w:hAnsi="Century Gothic" w:cs="Century Gothic"/>
          <w:color w:val="auto"/>
          <w:lang w:val="es-ES"/>
        </w:rPr>
        <w:t>.</w:t>
      </w:r>
    </w:p>
    <w:p w14:paraId="68E079D7" w14:textId="77777777" w:rsidR="00F36980" w:rsidRDefault="00F36980" w:rsidP="007549BB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63C920B5" w14:textId="77777777" w:rsidR="008F3210" w:rsidRPr="00251F81" w:rsidRDefault="008F3210" w:rsidP="00251F81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7392ADA4" w14:textId="0E2705F7" w:rsidR="007B3D8D" w:rsidRDefault="00E01BFF" w:rsidP="00E01BFF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  <w:r w:rsidRPr="00E01BFF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De lo estructural a lo práctico: el talento prioriza beneficios que impactan en su día a día </w:t>
      </w:r>
    </w:p>
    <w:p w14:paraId="0474017D" w14:textId="77777777" w:rsidR="00E01BFF" w:rsidRPr="007B3D8D" w:rsidRDefault="00E01BFF" w:rsidP="00E01BFF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</w:p>
    <w:p w14:paraId="1CADB4EF" w14:textId="2A36CDA9" w:rsidR="00EC3D3B" w:rsidRPr="00760F81" w:rsidRDefault="00A41638" w:rsidP="00EC3D3B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760F81">
        <w:rPr>
          <w:rFonts w:ascii="Century Gothic" w:eastAsia="Century Gothic" w:hAnsi="Century Gothic" w:cs="Century Gothic"/>
          <w:color w:val="auto"/>
          <w:lang w:val="es-ES"/>
        </w:rPr>
        <w:t xml:space="preserve">En cuanto a las preferencias, el talento orienta cada vez más su demanda hacia beneficios que impactan directamente en su bienestar cotidiano y su estabilidad. Aunque </w:t>
      </w:r>
      <w:r w:rsidRPr="00760F81">
        <w:rPr>
          <w:rFonts w:ascii="Century Gothic" w:eastAsia="Century Gothic" w:hAnsi="Century Gothic" w:cs="Century Gothic"/>
          <w:b/>
          <w:bCs/>
          <w:color w:val="auto"/>
          <w:lang w:val="es-ES"/>
        </w:rPr>
        <w:t>el seguro médico se mantiene como la opción más valorada (30,1 %)</w:t>
      </w:r>
      <w:r w:rsidRPr="00760F81">
        <w:rPr>
          <w:rFonts w:ascii="Century Gothic" w:eastAsia="Century Gothic" w:hAnsi="Century Gothic" w:cs="Century Gothic"/>
          <w:color w:val="auto"/>
          <w:lang w:val="es-ES"/>
        </w:rPr>
        <w:t xml:space="preserve"> y crecen con fuerza las soluciones vinculadas a la protección financiera, como </w:t>
      </w:r>
      <w:r w:rsidRPr="00760F81">
        <w:rPr>
          <w:rFonts w:ascii="Century Gothic" w:eastAsia="Century Gothic" w:hAnsi="Century Gothic" w:cs="Century Gothic"/>
          <w:b/>
          <w:bCs/>
          <w:color w:val="auto"/>
          <w:lang w:val="es-ES"/>
        </w:rPr>
        <w:t>pensiones o seguros de vida (18,1 %)</w:t>
      </w:r>
      <w:r w:rsidRPr="00760F81">
        <w:rPr>
          <w:rFonts w:ascii="Century Gothic" w:eastAsia="Century Gothic" w:hAnsi="Century Gothic" w:cs="Century Gothic"/>
          <w:color w:val="auto"/>
          <w:lang w:val="es-ES"/>
        </w:rPr>
        <w:t xml:space="preserve">, impulsadas por la preocupación por la estabilidad económica, se mantienen como esenciales </w:t>
      </w:r>
      <w:r w:rsidRPr="00760F81">
        <w:rPr>
          <w:rFonts w:ascii="Century Gothic" w:eastAsia="Century Gothic" w:hAnsi="Century Gothic" w:cs="Century Gothic"/>
          <w:b/>
          <w:bCs/>
          <w:color w:val="auto"/>
          <w:lang w:val="es-ES"/>
        </w:rPr>
        <w:t>los beneficios ligados al día a día</w:t>
      </w:r>
      <w:r w:rsidRPr="00760F81">
        <w:rPr>
          <w:rFonts w:ascii="Century Gothic" w:eastAsia="Century Gothic" w:hAnsi="Century Gothic" w:cs="Century Gothic"/>
          <w:color w:val="auto"/>
          <w:lang w:val="es-ES"/>
        </w:rPr>
        <w:t>.</w:t>
      </w:r>
    </w:p>
    <w:p w14:paraId="36F44243" w14:textId="77777777" w:rsidR="00A41638" w:rsidRPr="00EC3D3B" w:rsidRDefault="00A41638" w:rsidP="00EC3D3B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127FF6E2" w14:textId="6CD69EA1" w:rsidR="00EC3D3B" w:rsidRPr="00EC3D3B" w:rsidRDefault="00EC3D3B" w:rsidP="00EC3D3B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7832F1F8">
        <w:rPr>
          <w:rFonts w:ascii="Century Gothic" w:eastAsia="Century Gothic" w:hAnsi="Century Gothic" w:cs="Century Gothic"/>
          <w:color w:val="auto"/>
          <w:lang w:val="es-ES"/>
        </w:rPr>
        <w:t xml:space="preserve">En este sentido, las </w:t>
      </w:r>
      <w:r w:rsidRPr="7832F1F8">
        <w:rPr>
          <w:rFonts w:ascii="Century Gothic" w:eastAsia="Century Gothic" w:hAnsi="Century Gothic" w:cs="Century Gothic"/>
          <w:b/>
          <w:bCs/>
          <w:color w:val="auto"/>
          <w:lang w:val="es-ES"/>
        </w:rPr>
        <w:t>ayudas a la movilidad (15,9 %) y Ticket Restaurant (15 %) se consolidan como elementos esenciales dentro de la compensación</w:t>
      </w:r>
      <w:r w:rsidRPr="7832F1F8">
        <w:rPr>
          <w:rFonts w:ascii="Century Gothic" w:eastAsia="Century Gothic" w:hAnsi="Century Gothic" w:cs="Century Gothic"/>
          <w:color w:val="auto"/>
          <w:lang w:val="es-ES"/>
        </w:rPr>
        <w:t xml:space="preserve">, al responder de forma directa a necesidades reales del talento como el desplazamiento o la alimentación diaria. Su relevancia es </w:t>
      </w:r>
      <w:r w:rsidRPr="7832F1F8">
        <w:rPr>
          <w:rFonts w:ascii="Century Gothic" w:eastAsia="Century Gothic" w:hAnsi="Century Gothic" w:cs="Century Gothic"/>
          <w:b/>
          <w:bCs/>
          <w:color w:val="auto"/>
          <w:lang w:val="es-ES"/>
        </w:rPr>
        <w:t>aún mayor entre la Generación Z, donde alcanzan el 20,2 % y el 20 %, respectivamente,</w:t>
      </w:r>
      <w:r w:rsidRPr="7832F1F8">
        <w:rPr>
          <w:rFonts w:ascii="Century Gothic" w:eastAsia="Century Gothic" w:hAnsi="Century Gothic" w:cs="Century Gothic"/>
          <w:color w:val="auto"/>
          <w:lang w:val="es-ES"/>
        </w:rPr>
        <w:t xml:space="preserve"> evidenciando una clara preferencia por soluciones prácticas, inmediatas y tangibles.</w:t>
      </w:r>
      <w:r w:rsidR="0DE091F2" w:rsidRPr="7832F1F8">
        <w:rPr>
          <w:rFonts w:ascii="Century Gothic" w:eastAsia="Century Gothic" w:hAnsi="Century Gothic" w:cs="Century Gothic"/>
          <w:color w:val="auto"/>
          <w:lang w:val="es-ES"/>
        </w:rPr>
        <w:t xml:space="preserve"> Estos datos reflejan una clara preocupación por vigilar y cuidar los gastos cotidianos para hacer frente a la subida de los costes de vida.</w:t>
      </w:r>
    </w:p>
    <w:p w14:paraId="6A667BB5" w14:textId="77777777" w:rsidR="00EB0EE3" w:rsidRDefault="00EB0EE3" w:rsidP="00072CD0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69AC6EA4" w14:textId="734B835F" w:rsidR="007E495E" w:rsidRDefault="007E495E" w:rsidP="007E495E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6A997622">
        <w:rPr>
          <w:rFonts w:ascii="Century Gothic" w:eastAsia="Century Gothic" w:hAnsi="Century Gothic" w:cs="Century Gothic"/>
          <w:color w:val="auto"/>
          <w:lang w:val="es-ES"/>
        </w:rPr>
        <w:t xml:space="preserve">El comportamiento varía por generaciones. Mientras los </w:t>
      </w:r>
      <w:r w:rsidRPr="6A997622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Baby </w:t>
      </w:r>
      <w:proofErr w:type="spellStart"/>
      <w:r w:rsidRPr="6A997622">
        <w:rPr>
          <w:rFonts w:ascii="Century Gothic" w:eastAsia="Century Gothic" w:hAnsi="Century Gothic" w:cs="Century Gothic"/>
          <w:b/>
          <w:bCs/>
          <w:color w:val="auto"/>
          <w:lang w:val="es-ES"/>
        </w:rPr>
        <w:t>Boomers</w:t>
      </w:r>
      <w:proofErr w:type="spellEnd"/>
      <w:r w:rsidRPr="6A997622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 priorizan las pensiones (3</w:t>
      </w:r>
      <w:r w:rsidR="20A391DA" w:rsidRPr="6A997622">
        <w:rPr>
          <w:rFonts w:ascii="Century Gothic" w:eastAsia="Century Gothic" w:hAnsi="Century Gothic" w:cs="Century Gothic"/>
          <w:b/>
          <w:bCs/>
          <w:color w:val="auto"/>
          <w:lang w:val="es-ES"/>
        </w:rPr>
        <w:t>3,6</w:t>
      </w:r>
      <w:r w:rsidRPr="6A997622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 %)</w:t>
      </w:r>
      <w:r w:rsidRPr="6A997622">
        <w:rPr>
          <w:rFonts w:ascii="Century Gothic" w:eastAsia="Century Gothic" w:hAnsi="Century Gothic" w:cs="Century Gothic"/>
          <w:color w:val="auto"/>
          <w:lang w:val="es-ES"/>
        </w:rPr>
        <w:t xml:space="preserve">, los </w:t>
      </w:r>
      <w:proofErr w:type="spellStart"/>
      <w:r w:rsidRPr="6A997622">
        <w:rPr>
          <w:rFonts w:ascii="Century Gothic" w:eastAsia="Century Gothic" w:hAnsi="Century Gothic" w:cs="Century Gothic"/>
          <w:b/>
          <w:bCs/>
          <w:color w:val="auto"/>
          <w:lang w:val="es-ES"/>
        </w:rPr>
        <w:t>Millennials</w:t>
      </w:r>
      <w:proofErr w:type="spellEnd"/>
      <w:r w:rsidRPr="6A997622">
        <w:rPr>
          <w:rFonts w:ascii="Century Gothic" w:eastAsia="Century Gothic" w:hAnsi="Century Gothic" w:cs="Century Gothic"/>
          <w:color w:val="auto"/>
          <w:lang w:val="es-ES"/>
        </w:rPr>
        <w:t xml:space="preserve"> </w:t>
      </w:r>
      <w:r w:rsidR="5F770E7E" w:rsidRPr="6A997622">
        <w:rPr>
          <w:rFonts w:ascii="Century Gothic" w:eastAsia="Century Gothic" w:hAnsi="Century Gothic" w:cs="Century Gothic"/>
          <w:color w:val="auto"/>
          <w:lang w:val="es-ES"/>
        </w:rPr>
        <w:t xml:space="preserve">son los que </w:t>
      </w:r>
      <w:r w:rsidRPr="6A997622">
        <w:rPr>
          <w:rFonts w:ascii="Century Gothic" w:eastAsia="Century Gothic" w:hAnsi="Century Gothic" w:cs="Century Gothic"/>
          <w:color w:val="auto"/>
          <w:lang w:val="es-ES"/>
        </w:rPr>
        <w:t xml:space="preserve">muestran un </w:t>
      </w:r>
      <w:r w:rsidRPr="6A997622">
        <w:rPr>
          <w:rFonts w:ascii="Century Gothic" w:eastAsia="Century Gothic" w:hAnsi="Century Gothic" w:cs="Century Gothic"/>
          <w:b/>
          <w:bCs/>
          <w:color w:val="auto"/>
          <w:lang w:val="es-ES"/>
        </w:rPr>
        <w:t>mayor interés por beneficios como la guardería (9,4 %)</w:t>
      </w:r>
      <w:r w:rsidR="25BA8C4F" w:rsidRPr="6A997622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 </w:t>
      </w:r>
      <w:r w:rsidR="25BA8C4F" w:rsidRPr="6A997622">
        <w:rPr>
          <w:rFonts w:ascii="Century Gothic" w:eastAsia="Century Gothic" w:hAnsi="Century Gothic" w:cs="Century Gothic"/>
          <w:color w:val="auto"/>
          <w:lang w:val="es-ES"/>
        </w:rPr>
        <w:t>con respecto al resto de generaciones</w:t>
      </w:r>
      <w:r w:rsidRPr="6A997622">
        <w:rPr>
          <w:rFonts w:ascii="Century Gothic" w:eastAsia="Century Gothic" w:hAnsi="Century Gothic" w:cs="Century Gothic"/>
          <w:color w:val="auto"/>
          <w:lang w:val="es-ES"/>
        </w:rPr>
        <w:t>, reflejando necesidades vitales diferentes en cada etapa.</w:t>
      </w:r>
    </w:p>
    <w:p w14:paraId="26C61AC0" w14:textId="77777777" w:rsidR="0013109D" w:rsidRDefault="0013109D" w:rsidP="00571E27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</w:p>
    <w:p w14:paraId="22319FEB" w14:textId="3C541923" w:rsidR="0013109D" w:rsidRPr="0013109D" w:rsidRDefault="00660196" w:rsidP="0013109D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  <w:r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Salud </w:t>
      </w:r>
      <w:r w:rsidR="0013109D" w:rsidRPr="0013109D">
        <w:rPr>
          <w:rFonts w:ascii="Century Gothic" w:eastAsia="Century Gothic" w:hAnsi="Century Gothic" w:cs="Century Gothic"/>
          <w:b/>
          <w:bCs/>
          <w:color w:val="auto"/>
          <w:lang w:val="es-ES"/>
        </w:rPr>
        <w:t>en alerta: el impacto del trabajo se agrava</w:t>
      </w:r>
    </w:p>
    <w:p w14:paraId="53BB1B61" w14:textId="77777777" w:rsidR="007377A1" w:rsidRPr="00072CD0" w:rsidRDefault="007377A1" w:rsidP="00072CD0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5B18862A" w14:textId="1776540E" w:rsidR="00C5693F" w:rsidRPr="00C5693F" w:rsidRDefault="00C5693F" w:rsidP="00C5693F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  <w:r w:rsidRPr="00C5693F">
        <w:rPr>
          <w:rFonts w:ascii="Century Gothic" w:eastAsia="Century Gothic" w:hAnsi="Century Gothic" w:cs="Century Gothic"/>
          <w:color w:val="auto"/>
          <w:lang w:val="es-ES"/>
        </w:rPr>
        <w:t xml:space="preserve">Sin embargo, este creciente peso del bienestar contrasta con un deterioro cada vez más evidente de la salud laboral. El estudio revela que </w:t>
      </w:r>
      <w:r w:rsidRPr="00C5693F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siete de cada diez profesionales afirman que su trabajo afecta negativamente a su </w:t>
      </w:r>
      <w:r w:rsidR="00660196">
        <w:rPr>
          <w:rFonts w:ascii="Century Gothic" w:eastAsia="Century Gothic" w:hAnsi="Century Gothic" w:cs="Century Gothic"/>
          <w:b/>
          <w:bCs/>
          <w:color w:val="auto"/>
          <w:lang w:val="es-ES"/>
        </w:rPr>
        <w:t>salud emocional</w:t>
      </w:r>
      <w:r w:rsidRPr="00C5693F">
        <w:rPr>
          <w:rFonts w:ascii="Century Gothic" w:eastAsia="Century Gothic" w:hAnsi="Century Gothic" w:cs="Century Gothic"/>
          <w:color w:val="auto"/>
          <w:lang w:val="es-ES"/>
        </w:rPr>
        <w:t xml:space="preserve">, </w:t>
      </w:r>
      <w:r>
        <w:rPr>
          <w:rFonts w:ascii="Century Gothic" w:eastAsia="Century Gothic" w:hAnsi="Century Gothic" w:cs="Century Gothic"/>
          <w:color w:val="auto"/>
          <w:lang w:val="es-ES"/>
        </w:rPr>
        <w:t>un 10 %</w:t>
      </w:r>
      <w:r w:rsidRPr="00C5693F">
        <w:rPr>
          <w:rFonts w:ascii="Century Gothic" w:eastAsia="Century Gothic" w:hAnsi="Century Gothic" w:cs="Century Gothic"/>
          <w:color w:val="auto"/>
          <w:lang w:val="es-ES"/>
        </w:rPr>
        <w:t xml:space="preserve"> más que el año anterior, y </w:t>
      </w:r>
      <w:r w:rsidRPr="00C5693F">
        <w:rPr>
          <w:rFonts w:ascii="Century Gothic" w:eastAsia="Century Gothic" w:hAnsi="Century Gothic" w:cs="Century Gothic"/>
          <w:b/>
          <w:bCs/>
          <w:color w:val="auto"/>
          <w:lang w:val="es-ES"/>
        </w:rPr>
        <w:t>un 23,8 % asegura que este impacto es constante.</w:t>
      </w:r>
    </w:p>
    <w:p w14:paraId="2E21E32F" w14:textId="77777777" w:rsidR="00A942B7" w:rsidRPr="00072CD0" w:rsidRDefault="00A942B7" w:rsidP="00072CD0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2C90C0AE" w14:textId="2D4B28CC" w:rsidR="00026B5B" w:rsidRPr="00072CD0" w:rsidRDefault="00DF2A96" w:rsidP="00072CD0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DF2A96">
        <w:rPr>
          <w:rFonts w:ascii="Century Gothic" w:eastAsia="Century Gothic" w:hAnsi="Century Gothic" w:cs="Century Gothic"/>
          <w:color w:val="auto"/>
          <w:lang w:val="es-ES"/>
        </w:rPr>
        <w:t xml:space="preserve">La situación es especialmente preocupante entre los perfiles más jóvenes. </w:t>
      </w:r>
      <w:r w:rsidRPr="00DF2A96">
        <w:rPr>
          <w:rFonts w:ascii="Century Gothic" w:eastAsia="Century Gothic" w:hAnsi="Century Gothic" w:cs="Century Gothic"/>
          <w:b/>
          <w:bCs/>
          <w:color w:val="auto"/>
          <w:lang w:val="es-ES"/>
        </w:rPr>
        <w:t>Más de ocho de cada diez profesionales de la Generación Z ya experimentan un impacto negativo</w:t>
      </w:r>
      <w:r w:rsidRPr="00DF2A96">
        <w:rPr>
          <w:rFonts w:ascii="Century Gothic" w:eastAsia="Century Gothic" w:hAnsi="Century Gothic" w:cs="Century Gothic"/>
          <w:color w:val="auto"/>
          <w:lang w:val="es-ES"/>
        </w:rPr>
        <w:t xml:space="preserve"> en su </w:t>
      </w:r>
      <w:r w:rsidR="00660196">
        <w:rPr>
          <w:rFonts w:ascii="Century Gothic" w:eastAsia="Century Gothic" w:hAnsi="Century Gothic" w:cs="Century Gothic"/>
          <w:color w:val="auto"/>
          <w:lang w:val="es-ES"/>
        </w:rPr>
        <w:t>salud emocional</w:t>
      </w:r>
      <w:r w:rsidRPr="00DF2A96">
        <w:rPr>
          <w:rFonts w:ascii="Century Gothic" w:eastAsia="Century Gothic" w:hAnsi="Century Gothic" w:cs="Century Gothic"/>
          <w:color w:val="auto"/>
          <w:lang w:val="es-ES"/>
        </w:rPr>
        <w:t xml:space="preserve">, y </w:t>
      </w:r>
      <w:r w:rsidRPr="00DF2A96">
        <w:rPr>
          <w:rFonts w:ascii="Century Gothic" w:eastAsia="Century Gothic" w:hAnsi="Century Gothic" w:cs="Century Gothic"/>
          <w:b/>
          <w:bCs/>
          <w:color w:val="auto"/>
          <w:lang w:val="es-ES"/>
        </w:rPr>
        <w:t>la mitad (49,1 %) reconoce que su trabajo afecta a sus hábitos alimenticios</w:t>
      </w:r>
      <w:r w:rsidRPr="00DF2A96">
        <w:rPr>
          <w:rFonts w:ascii="Century Gothic" w:eastAsia="Century Gothic" w:hAnsi="Century Gothic" w:cs="Century Gothic"/>
          <w:color w:val="auto"/>
          <w:lang w:val="es-ES"/>
        </w:rPr>
        <w:t xml:space="preserve">, evidenciando un deterioro que trasciende </w:t>
      </w:r>
      <w:r w:rsidR="00FE030E">
        <w:rPr>
          <w:rFonts w:ascii="Century Gothic" w:eastAsia="Century Gothic" w:hAnsi="Century Gothic" w:cs="Century Gothic"/>
          <w:color w:val="auto"/>
          <w:lang w:val="es-ES"/>
        </w:rPr>
        <w:t xml:space="preserve">el ámbito laboral </w:t>
      </w:r>
      <w:r w:rsidRPr="00DF2A96">
        <w:rPr>
          <w:rFonts w:ascii="Century Gothic" w:eastAsia="Century Gothic" w:hAnsi="Century Gothic" w:cs="Century Gothic"/>
          <w:color w:val="auto"/>
          <w:lang w:val="es-ES"/>
        </w:rPr>
        <w:t>y se instala en el día a día.</w:t>
      </w:r>
    </w:p>
    <w:p w14:paraId="40199FDD" w14:textId="77777777" w:rsidR="002B2563" w:rsidRPr="00270612" w:rsidRDefault="002B2563" w:rsidP="00270612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5A99E176" w14:textId="4A7D4182" w:rsidR="00DF2A96" w:rsidRPr="00DF2A96" w:rsidRDefault="00DF2A96" w:rsidP="00DF2A96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  <w:r w:rsidRPr="00DF2A96">
        <w:rPr>
          <w:rFonts w:ascii="Century Gothic" w:eastAsia="Century Gothic" w:hAnsi="Century Gothic" w:cs="Century Gothic"/>
          <w:color w:val="auto"/>
          <w:lang w:val="es-ES"/>
        </w:rPr>
        <w:lastRenderedPageBreak/>
        <w:t xml:space="preserve">Más allá de la </w:t>
      </w:r>
      <w:r w:rsidR="00660196">
        <w:rPr>
          <w:rFonts w:ascii="Century Gothic" w:eastAsia="Century Gothic" w:hAnsi="Century Gothic" w:cs="Century Gothic"/>
          <w:color w:val="auto"/>
          <w:lang w:val="es-ES"/>
        </w:rPr>
        <w:t>salud emocional</w:t>
      </w:r>
      <w:r w:rsidRPr="00DF2A96">
        <w:rPr>
          <w:rFonts w:ascii="Century Gothic" w:eastAsia="Century Gothic" w:hAnsi="Century Gothic" w:cs="Century Gothic"/>
          <w:color w:val="auto"/>
          <w:lang w:val="es-ES"/>
        </w:rPr>
        <w:t xml:space="preserve">, el entorno laboral está impactando directamente en los hábitos de vida. </w:t>
      </w:r>
      <w:r w:rsidRPr="00DF2A96">
        <w:rPr>
          <w:rFonts w:ascii="Century Gothic" w:eastAsia="Century Gothic" w:hAnsi="Century Gothic" w:cs="Century Gothic"/>
          <w:b/>
          <w:bCs/>
          <w:color w:val="auto"/>
          <w:lang w:val="es-ES"/>
        </w:rPr>
        <w:t>El 40,5 % del talento afirma que su trabajo perjudica su alimentación</w:t>
      </w:r>
      <w:r w:rsidRPr="00DF2A96">
        <w:rPr>
          <w:rFonts w:ascii="Century Gothic" w:eastAsia="Century Gothic" w:hAnsi="Century Gothic" w:cs="Century Gothic"/>
          <w:color w:val="auto"/>
          <w:lang w:val="es-ES"/>
        </w:rPr>
        <w:t xml:space="preserve">, mientras que </w:t>
      </w:r>
      <w:r w:rsidRPr="00DF2A96">
        <w:rPr>
          <w:rFonts w:ascii="Century Gothic" w:eastAsia="Century Gothic" w:hAnsi="Century Gothic" w:cs="Century Gothic"/>
          <w:b/>
          <w:bCs/>
          <w:color w:val="auto"/>
          <w:lang w:val="es-ES"/>
        </w:rPr>
        <w:t>el sedentarismo se dispara hasta el 42 %</w:t>
      </w:r>
      <w:r w:rsidRPr="00DF2A96">
        <w:rPr>
          <w:rFonts w:ascii="Century Gothic" w:eastAsia="Century Gothic" w:hAnsi="Century Gothic" w:cs="Century Gothic"/>
          <w:color w:val="auto"/>
          <w:lang w:val="es-ES"/>
        </w:rPr>
        <w:t xml:space="preserve">, </w:t>
      </w:r>
      <w:r w:rsidRPr="007F7CA8">
        <w:rPr>
          <w:rFonts w:ascii="Century Gothic" w:eastAsia="Century Gothic" w:hAnsi="Century Gothic" w:cs="Century Gothic"/>
          <w:color w:val="auto"/>
          <w:lang w:val="es-ES"/>
        </w:rPr>
        <w:t>un 6%</w:t>
      </w:r>
      <w:r w:rsidRPr="00DF2A96">
        <w:rPr>
          <w:rFonts w:ascii="Century Gothic" w:eastAsia="Century Gothic" w:hAnsi="Century Gothic" w:cs="Century Gothic"/>
          <w:color w:val="auto"/>
          <w:lang w:val="es-ES"/>
        </w:rPr>
        <w:t xml:space="preserve"> más que en 2025, con una incidencia especialmente elevada en los</w:t>
      </w:r>
      <w:r w:rsidRPr="00DF2A96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 </w:t>
      </w:r>
      <w:proofErr w:type="spellStart"/>
      <w:r w:rsidRPr="00DF2A96">
        <w:rPr>
          <w:rFonts w:ascii="Century Gothic" w:eastAsia="Century Gothic" w:hAnsi="Century Gothic" w:cs="Century Gothic"/>
          <w:b/>
          <w:bCs/>
          <w:color w:val="auto"/>
          <w:lang w:val="es-ES"/>
        </w:rPr>
        <w:t>Millennials</w:t>
      </w:r>
      <w:proofErr w:type="spellEnd"/>
      <w:r w:rsidRPr="00DF2A96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 </w:t>
      </w:r>
      <w:r w:rsidR="007F7CA8" w:rsidRPr="007F7CA8">
        <w:rPr>
          <w:rFonts w:ascii="Century Gothic" w:eastAsia="Century Gothic" w:hAnsi="Century Gothic" w:cs="Century Gothic"/>
          <w:b/>
          <w:bCs/>
          <w:color w:val="auto"/>
          <w:lang w:val="es-ES"/>
        </w:rPr>
        <w:t>(44,8 %).</w:t>
      </w:r>
    </w:p>
    <w:p w14:paraId="2DF5C236" w14:textId="77777777" w:rsidR="002B2563" w:rsidRPr="00270612" w:rsidRDefault="002B2563" w:rsidP="00270612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1C640020" w14:textId="442F6C32" w:rsidR="00E840ED" w:rsidRPr="00E840ED" w:rsidRDefault="00E840ED" w:rsidP="00E840ED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E840ED">
        <w:rPr>
          <w:rFonts w:ascii="Century Gothic" w:eastAsia="Century Gothic" w:hAnsi="Century Gothic" w:cs="Century Gothic"/>
          <w:color w:val="auto"/>
          <w:lang w:val="es-ES"/>
        </w:rPr>
        <w:t>En conjunto, los datos reflejan un cambio de paradigma: mientras algunas empresas ralentizan las medidas de bienestar, el talento exige que estas dejen de ser un complemento para convertirse en la base, como pilares clave para generar valor y construir entornos</w:t>
      </w:r>
      <w:r>
        <w:rPr>
          <w:rFonts w:ascii="Century Gothic" w:eastAsia="Century Gothic" w:hAnsi="Century Gothic" w:cs="Century Gothic"/>
          <w:color w:val="auto"/>
          <w:lang w:val="es-ES"/>
        </w:rPr>
        <w:t xml:space="preserve"> laborales</w:t>
      </w:r>
      <w:r w:rsidRPr="00E840ED">
        <w:rPr>
          <w:rFonts w:ascii="Century Gothic" w:eastAsia="Century Gothic" w:hAnsi="Century Gothic" w:cs="Century Gothic"/>
          <w:color w:val="auto"/>
          <w:lang w:val="es-ES"/>
        </w:rPr>
        <w:t xml:space="preserve"> más sostenibles.</w:t>
      </w:r>
    </w:p>
    <w:p w14:paraId="137DD95F" w14:textId="77777777" w:rsidR="002101D2" w:rsidRPr="00270612" w:rsidRDefault="002101D2" w:rsidP="00270612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73337DC3" w14:textId="7726AE25" w:rsidR="3D067019" w:rsidRDefault="3D067019" w:rsidP="6A997622">
      <w:pPr>
        <w:jc w:val="both"/>
        <w:rPr>
          <w:rFonts w:ascii="Century Gothic" w:eastAsia="Century Gothic" w:hAnsi="Century Gothic" w:cs="Century Gothic"/>
          <w:b/>
          <w:bCs/>
          <w:color w:val="000000" w:themeColor="text1"/>
          <w:lang w:val="es"/>
        </w:rPr>
      </w:pPr>
      <w:r w:rsidRPr="6A997622">
        <w:rPr>
          <w:rFonts w:ascii="Century Gothic" w:eastAsia="Century Gothic" w:hAnsi="Century Gothic" w:cs="Century Gothic"/>
          <w:color w:val="000000" w:themeColor="text1"/>
          <w:lang w:val="es"/>
        </w:rPr>
        <w:t>“</w:t>
      </w:r>
      <w:r w:rsidRPr="6A997622">
        <w:rPr>
          <w:rFonts w:ascii="Century Gothic" w:eastAsia="Century Gothic" w:hAnsi="Century Gothic" w:cs="Century Gothic"/>
          <w:i/>
          <w:iCs/>
          <w:color w:val="000000" w:themeColor="text1"/>
          <w:lang w:val="es"/>
        </w:rPr>
        <w:t xml:space="preserve">Savia, salud digital de MAPFRE, constata que </w:t>
      </w:r>
      <w:r w:rsidRPr="6A997622">
        <w:rPr>
          <w:rFonts w:ascii="Century Gothic" w:eastAsia="Century Gothic" w:hAnsi="Century Gothic" w:cs="Century Gothic"/>
          <w:b/>
          <w:bCs/>
          <w:i/>
          <w:iCs/>
          <w:color w:val="000000" w:themeColor="text1"/>
          <w:lang w:val="es"/>
        </w:rPr>
        <w:t>el bienestar laboral se ha convertido en un punto de inflexión para las organizaciones</w:t>
      </w:r>
      <w:r w:rsidRPr="6A997622">
        <w:rPr>
          <w:rFonts w:ascii="Century Gothic" w:eastAsia="Century Gothic" w:hAnsi="Century Gothic" w:cs="Century Gothic"/>
          <w:i/>
          <w:iCs/>
          <w:color w:val="000000" w:themeColor="text1"/>
          <w:lang w:val="es"/>
        </w:rPr>
        <w:t xml:space="preserve">. Cuando el trabajo deja huella en la salud emocional de la mayoría de los profesionales, ya no basta con reaccionar: es momento de repensar el modelo. La población busca entornos que cuiden, acompañen y se adapten a las distintas etapas vitales. Las empresas que sitúen </w:t>
      </w:r>
      <w:r w:rsidRPr="6A997622">
        <w:rPr>
          <w:rFonts w:ascii="Century Gothic" w:eastAsia="Century Gothic" w:hAnsi="Century Gothic" w:cs="Century Gothic"/>
          <w:b/>
          <w:bCs/>
          <w:i/>
          <w:iCs/>
          <w:color w:val="000000" w:themeColor="text1"/>
          <w:lang w:val="es"/>
        </w:rPr>
        <w:t>la salud y el bienestar en el centro de su estrategia no solo protegerán a sus equipos, sino que estarán construyendo una ventaja competitiva real y sostenible</w:t>
      </w:r>
      <w:r w:rsidRPr="6A997622">
        <w:rPr>
          <w:rFonts w:ascii="Century Gothic" w:eastAsia="Century Gothic" w:hAnsi="Century Gothic" w:cs="Century Gothic"/>
          <w:color w:val="000000" w:themeColor="text1"/>
          <w:lang w:val="es"/>
        </w:rPr>
        <w:t xml:space="preserve">,” </w:t>
      </w:r>
      <w:r w:rsidRPr="6A997622">
        <w:rPr>
          <w:rFonts w:ascii="Century Gothic" w:eastAsia="Century Gothic" w:hAnsi="Century Gothic" w:cs="Century Gothic"/>
          <w:b/>
          <w:bCs/>
          <w:color w:val="000000" w:themeColor="text1"/>
          <w:lang w:val="es"/>
        </w:rPr>
        <w:t>destaca Pedro Díaz Yuste, CEO de Savia Salud Digital Mapfre</w:t>
      </w:r>
    </w:p>
    <w:p w14:paraId="10DEB692" w14:textId="77777777" w:rsidR="002101D2" w:rsidRPr="00270612" w:rsidRDefault="002101D2" w:rsidP="00270612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3D1ECA6D" w14:textId="79A78799" w:rsidR="009D649A" w:rsidRPr="009D649A" w:rsidRDefault="009D649A" w:rsidP="009D649A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6A997622">
        <w:rPr>
          <w:rFonts w:ascii="Century Gothic" w:eastAsia="Century Gothic" w:hAnsi="Century Gothic" w:cs="Century Gothic"/>
          <w:i/>
          <w:iCs/>
          <w:color w:val="auto"/>
          <w:lang w:val="es-ES"/>
        </w:rPr>
        <w:t xml:space="preserve">“En Edenred creemos que </w:t>
      </w:r>
      <w:r w:rsidRPr="6A997622">
        <w:rPr>
          <w:rFonts w:ascii="Century Gothic" w:eastAsia="Century Gothic" w:hAnsi="Century Gothic" w:cs="Century Gothic"/>
          <w:b/>
          <w:bCs/>
          <w:i/>
          <w:iCs/>
          <w:color w:val="auto"/>
          <w:lang w:val="es-ES"/>
        </w:rPr>
        <w:t>el futuro del trabajo ya no se define solo por la compensación económica, sino por la capacidad de las empresas para construir entornos donde el bienestar sea estructural</w:t>
      </w:r>
      <w:r w:rsidRPr="6A997622">
        <w:rPr>
          <w:rFonts w:ascii="Century Gothic" w:eastAsia="Century Gothic" w:hAnsi="Century Gothic" w:cs="Century Gothic"/>
          <w:i/>
          <w:iCs/>
          <w:color w:val="auto"/>
          <w:lang w:val="es-ES"/>
        </w:rPr>
        <w:t xml:space="preserve">. </w:t>
      </w:r>
      <w:r w:rsidR="00347207" w:rsidRPr="6A997622">
        <w:rPr>
          <w:rFonts w:ascii="Century Gothic" w:eastAsia="Century Gothic" w:hAnsi="Century Gothic" w:cs="Century Gothic"/>
          <w:i/>
          <w:iCs/>
          <w:color w:val="auto"/>
          <w:lang w:val="es-ES"/>
        </w:rPr>
        <w:t xml:space="preserve">El </w:t>
      </w:r>
      <w:r w:rsidRPr="6A997622">
        <w:rPr>
          <w:rFonts w:ascii="Century Gothic" w:eastAsia="Century Gothic" w:hAnsi="Century Gothic" w:cs="Century Gothic"/>
          <w:i/>
          <w:iCs/>
          <w:color w:val="auto"/>
          <w:lang w:val="es-ES"/>
        </w:rPr>
        <w:t xml:space="preserve">talento está dispuesto a replantearse su relación con el trabajo si no encuentra ese equilibrio. </w:t>
      </w:r>
      <w:r w:rsidR="00643275" w:rsidRPr="00760F81">
        <w:rPr>
          <w:rFonts w:ascii="Century Gothic" w:eastAsia="Century Gothic" w:hAnsi="Century Gothic" w:cs="Century Gothic"/>
          <w:i/>
          <w:iCs/>
          <w:color w:val="auto"/>
          <w:lang w:val="es-ES"/>
        </w:rPr>
        <w:t>Las compañías que entiendan que ya no es un extra, serán las que marquen la diferencia</w:t>
      </w:r>
      <w:r w:rsidRPr="6A997622">
        <w:rPr>
          <w:rFonts w:ascii="Century Gothic" w:eastAsia="Century Gothic" w:hAnsi="Century Gothic" w:cs="Century Gothic"/>
          <w:i/>
          <w:iCs/>
          <w:color w:val="auto"/>
          <w:lang w:val="es-ES"/>
        </w:rPr>
        <w:t>”,</w:t>
      </w:r>
      <w:r w:rsidRPr="6A997622">
        <w:rPr>
          <w:rFonts w:ascii="Century Gothic" w:eastAsia="Century Gothic" w:hAnsi="Century Gothic" w:cs="Century Gothic"/>
          <w:color w:val="auto"/>
          <w:lang w:val="es-ES"/>
        </w:rPr>
        <w:t xml:space="preserve"> </w:t>
      </w:r>
      <w:r w:rsidRPr="6A997622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destaca </w:t>
      </w:r>
      <w:proofErr w:type="spellStart"/>
      <w:r w:rsidRPr="6A997622">
        <w:rPr>
          <w:rFonts w:ascii="Century Gothic" w:eastAsia="Century Gothic" w:hAnsi="Century Gothic" w:cs="Century Gothic"/>
          <w:b/>
          <w:bCs/>
          <w:color w:val="auto"/>
          <w:lang w:val="es-ES"/>
        </w:rPr>
        <w:t>Stanislas</w:t>
      </w:r>
      <w:proofErr w:type="spellEnd"/>
      <w:r w:rsidRPr="6A997622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 de </w:t>
      </w:r>
      <w:proofErr w:type="spellStart"/>
      <w:r w:rsidRPr="6A997622">
        <w:rPr>
          <w:rFonts w:ascii="Century Gothic" w:eastAsia="Century Gothic" w:hAnsi="Century Gothic" w:cs="Century Gothic"/>
          <w:b/>
          <w:bCs/>
          <w:color w:val="auto"/>
          <w:lang w:val="es-ES"/>
        </w:rPr>
        <w:t>Bourgues</w:t>
      </w:r>
      <w:proofErr w:type="spellEnd"/>
      <w:r w:rsidRPr="6A997622">
        <w:rPr>
          <w:rFonts w:ascii="Century Gothic" w:eastAsia="Century Gothic" w:hAnsi="Century Gothic" w:cs="Century Gothic"/>
          <w:b/>
          <w:bCs/>
          <w:color w:val="auto"/>
          <w:lang w:val="es-ES"/>
        </w:rPr>
        <w:t>, CEO de Edenred España.</w:t>
      </w:r>
    </w:p>
    <w:p w14:paraId="0B8E3712" w14:textId="77777777" w:rsidR="005763AD" w:rsidRPr="001F4EB2" w:rsidRDefault="005763AD" w:rsidP="001F4EB2">
      <w:pPr>
        <w:jc w:val="both"/>
        <w:rPr>
          <w:rFonts w:eastAsia="Century Gothic" w:cs="Century Gothic"/>
          <w:b/>
          <w:bCs/>
          <w:lang w:val="es-ES"/>
        </w:rPr>
      </w:pPr>
    </w:p>
    <w:p w14:paraId="2DD9AE04" w14:textId="0A91D3AA" w:rsidR="00A72075" w:rsidRPr="00C2742B" w:rsidRDefault="00A72075" w:rsidP="00D03656">
      <w:pPr>
        <w:jc w:val="both"/>
        <w:rPr>
          <w:lang w:val="es-ES"/>
        </w:rPr>
      </w:pPr>
    </w:p>
    <w:p w14:paraId="51E74DA8" w14:textId="49D88DA3" w:rsidR="0034131E" w:rsidRPr="00833D4F" w:rsidRDefault="00E660F9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00833D4F">
        <w:rPr>
          <w:rFonts w:ascii="Century Gothic" w:eastAsia="Century Gothic" w:hAnsi="Century Gothic" w:cs="Century Gothic"/>
          <w:color w:val="000000"/>
          <w:lang w:val="es-ES"/>
        </w:rPr>
        <w:t>▬▬</w:t>
      </w:r>
    </w:p>
    <w:p w14:paraId="319B1527" w14:textId="77777777" w:rsidR="0034131E" w:rsidRPr="00833D4F" w:rsidRDefault="0034131E">
      <w:pPr>
        <w:jc w:val="both"/>
        <w:rPr>
          <w:rFonts w:ascii="Century Gothic" w:eastAsia="Century Gothic" w:hAnsi="Century Gothic" w:cs="Century Gothic"/>
          <w:lang w:val="es-ES"/>
        </w:rPr>
      </w:pPr>
    </w:p>
    <w:p w14:paraId="25873AF5" w14:textId="77777777" w:rsidR="0034131E" w:rsidRPr="00833D4F" w:rsidRDefault="00E660F9">
      <w:pPr>
        <w:jc w:val="both"/>
        <w:rPr>
          <w:lang w:val="es-ES"/>
        </w:rPr>
      </w:pPr>
      <w:r w:rsidRPr="00833D4F">
        <w:rPr>
          <w:rFonts w:ascii="Century Gothic" w:eastAsia="Century Gothic" w:hAnsi="Century Gothic" w:cs="Century Gothic"/>
          <w:b/>
          <w:color w:val="000000"/>
          <w:sz w:val="18"/>
          <w:szCs w:val="18"/>
          <w:lang w:val="es-ES"/>
        </w:rPr>
        <w:t>Sobre Edenred</w:t>
      </w:r>
    </w:p>
    <w:p w14:paraId="1913A89B" w14:textId="35E52805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lang w:val="es-ES"/>
        </w:rPr>
      </w:pPr>
    </w:p>
    <w:p w14:paraId="42281989" w14:textId="441184D9" w:rsidR="30A0C5C1" w:rsidRDefault="30A0C5C1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  <w:lang w:val="es-ES"/>
        </w:rPr>
        <w:t>Edenred</w:t>
      </w: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es líder </w:t>
      </w:r>
      <w:r w:rsidRPr="00760F8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global en </w:t>
      </w:r>
      <w:proofErr w:type="spellStart"/>
      <w:r w:rsidRPr="00760F8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Benefits</w:t>
      </w:r>
      <w:proofErr w:type="spellEnd"/>
      <w:r w:rsidRPr="00760F8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&amp; </w:t>
      </w:r>
      <w:proofErr w:type="spellStart"/>
      <w:r w:rsidRPr="00760F8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Engagement</w:t>
      </w:r>
      <w:proofErr w:type="spellEnd"/>
      <w:r w:rsidRPr="00760F8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y Movilidad.</w:t>
      </w:r>
    </w:p>
    <w:p w14:paraId="55B811DA" w14:textId="1C38D9F9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18A2EBB6" w14:textId="54F2D83D" w:rsidR="30A0C5C1" w:rsidRDefault="30A0C5C1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Con más de 1 millón de empresas cliente en 44 países, la plataforma de Edenred ofrece a más de 60 millones de usuarios acceso a los servicios y productos de más de 2 millones de comercios asociados.</w:t>
      </w:r>
    </w:p>
    <w:p w14:paraId="77B09E63" w14:textId="02CE97C1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54A0712F" w14:textId="0256EC9E" w:rsidR="30A0C5C1" w:rsidRDefault="30A0C5C1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Edenred proporciona soluciones digitales dirigidas a profesionales (vales de comida, transporte al trabajo, tarjetas regalo, bienestar, incentivos y ofertas preferentes), a gestores de flotas (soluciones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multienergía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que incluyen recarga de vehículos eléctricos, servicios de mantenimiento, peajes y estacionamiento) y a pagos corporativos (tarjetas virtuales).</w:t>
      </w:r>
    </w:p>
    <w:p w14:paraId="7603B261" w14:textId="09ED7591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087302A5" w14:textId="6C56C94B" w:rsidR="30A0C5C1" w:rsidRDefault="30A0C5C1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Guiadas por el propósito del Grupo, </w:t>
      </w:r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>“</w:t>
      </w:r>
      <w:proofErr w:type="spellStart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>Enrich</w:t>
      </w:r>
      <w:proofErr w:type="spellEnd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 xml:space="preserve"> </w:t>
      </w:r>
      <w:proofErr w:type="spellStart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>connections</w:t>
      </w:r>
      <w:proofErr w:type="spellEnd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 xml:space="preserve">. For </w:t>
      </w:r>
      <w:proofErr w:type="spellStart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>good</w:t>
      </w:r>
      <w:proofErr w:type="spellEnd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>.”</w:t>
      </w: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, estas soluciones mejoran el bienestar y el poder adquisitivo de los profesionales y simplifican la vida de los conductores profesionales. Asimismo, fomentan el acceso a una alimentación más saludable, a productos más respetuosos con el medioambiente y a una movilidad más sostenible. Además, contribuyen a mejorar la atractividad y la eficiencia de las empresas, dinamizando al mismo tiempo el mercado laboral y las economías locales.</w:t>
      </w:r>
    </w:p>
    <w:p w14:paraId="298965CF" w14:textId="0AB01087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3916B0C3" w14:textId="093A653C" w:rsidR="30A0C5C1" w:rsidRDefault="30A0C5C1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Los 12.000 profesionales de Edenred trabajan cada día para hacer del mundo laboral un ecosistema más conectado, seguro, eficiente y responsable.</w:t>
      </w:r>
    </w:p>
    <w:p w14:paraId="538E00BD" w14:textId="3DBFDFD0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3E8034FB" w14:textId="11C5D08F" w:rsidR="30A0C5C1" w:rsidRDefault="30A0C5C1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En 2025, gracias a su plataforma tecnológica única, el Grupo generó un volumen de negocio de 49.000 millones de euros, principalmente a través de aplicaciones móviles, plataformas online y tarjetas.</w:t>
      </w:r>
    </w:p>
    <w:p w14:paraId="7E24578C" w14:textId="7B42CFD6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031F0800" w14:textId="69BA25A8" w:rsidR="30A0C5C1" w:rsidRDefault="30A0C5C1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lastRenderedPageBreak/>
        <w:t xml:space="preserve">Edenred cotiza en la Bolsa de París (Euronext Paris) y forma parte de los siguientes índices: CAC Next 20, CAC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Large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60, Euronext 100, Euronext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Tech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Leaders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, FTSE4Good, DJSI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Europe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Index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y DJSI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World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Index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.</w:t>
      </w:r>
    </w:p>
    <w:p w14:paraId="66CEAA30" w14:textId="6CA01771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53DB0FAF" w14:textId="01F91401" w:rsidR="30A0C5C1" w:rsidRDefault="30A0C5C1" w:rsidP="10C8913A">
      <w:pPr>
        <w:spacing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6"/>
          <w:szCs w:val="16"/>
          <w:lang w:val="es-ES"/>
        </w:rPr>
      </w:pPr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6"/>
          <w:szCs w:val="16"/>
          <w:lang w:val="es-ES"/>
        </w:rPr>
        <w:t>Los logotipos y otras marcas mencionadas y destacadas en este comunicado de prensa son marcas registradas de Edenred S.E., sus filiales o terceros. No pueden utilizarse con fines comerciales sin el consentimiento previo por escrito de sus propietarios.</w:t>
      </w:r>
    </w:p>
    <w:p w14:paraId="631457E5" w14:textId="732368D7" w:rsidR="10C8913A" w:rsidRDefault="10C8913A" w:rsidP="10C8913A">
      <w:pPr>
        <w:spacing w:line="240" w:lineRule="auto"/>
        <w:jc w:val="both"/>
        <w:rPr>
          <w:rFonts w:ascii="Century Gothic" w:eastAsia="Century Gothic" w:hAnsi="Century Gothic" w:cs="Century Gothic"/>
          <w:i/>
          <w:iCs/>
          <w:color w:val="000000" w:themeColor="text1"/>
          <w:sz w:val="16"/>
          <w:szCs w:val="16"/>
          <w:lang w:val="es-ES"/>
        </w:rPr>
      </w:pPr>
    </w:p>
    <w:p w14:paraId="6E54591E" w14:textId="5607B92C" w:rsidR="0034131E" w:rsidRPr="00833D4F" w:rsidRDefault="0034131E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34EBC2CB" w14:textId="77777777" w:rsidR="0034131E" w:rsidRDefault="00E660F9">
      <w:pPr>
        <w:spacing w:line="254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CONTACTO</w:t>
      </w:r>
    </w:p>
    <w:tbl>
      <w:tblPr>
        <w:tblStyle w:val="a"/>
        <w:tblW w:w="9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03"/>
        <w:gridCol w:w="4552"/>
      </w:tblGrid>
      <w:tr w:rsidR="0034131E" w14:paraId="10E87855" w14:textId="77777777">
        <w:trPr>
          <w:trHeight w:val="1725"/>
        </w:trPr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CB8FE" w14:textId="77777777" w:rsidR="0034131E" w:rsidRDefault="0034131E">
            <w:pPr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  <w:p w14:paraId="3E71BA8C" w14:textId="77777777" w:rsidR="0034131E" w:rsidRDefault="00E660F9">
            <w:pPr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  <w:t>Edenred</w:t>
            </w:r>
          </w:p>
          <w:p w14:paraId="2C0E5145" w14:textId="77777777" w:rsidR="0034131E" w:rsidRDefault="00E660F9">
            <w:pPr>
              <w:jc w:val="both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Alejandro Delgado Sánchez</w:t>
            </w:r>
          </w:p>
          <w:p w14:paraId="3C5097B0" w14:textId="77777777" w:rsidR="0034131E" w:rsidRDefault="00E660F9">
            <w:pPr>
              <w:jc w:val="both"/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Communications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Specialist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</w:t>
            </w:r>
          </w:p>
          <w:p w14:paraId="7AD809AF" w14:textId="77777777" w:rsidR="0034131E" w:rsidRDefault="0034131E">
            <w:pPr>
              <w:jc w:val="both"/>
            </w:pPr>
            <w:hyperlink r:id="rId9">
              <w:r>
                <w:rPr>
                  <w:rFonts w:ascii="Century Gothic" w:eastAsia="Century Gothic" w:hAnsi="Century Gothic" w:cs="Century Gothic"/>
                  <w:color w:val="000000"/>
                  <w:sz w:val="16"/>
                  <w:szCs w:val="16"/>
                </w:rPr>
                <w:t>alejandro.delgadosanchez@edenred.com</w:t>
              </w:r>
            </w:hyperlink>
          </w:p>
          <w:p w14:paraId="4CF87B1B" w14:textId="77777777" w:rsidR="0034131E" w:rsidRDefault="0034131E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</w:tc>
        <w:tc>
          <w:tcPr>
            <w:tcW w:w="4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79073" w14:textId="77777777" w:rsidR="0034131E" w:rsidRDefault="0034131E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  <w:p w14:paraId="188D7D39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  <w:t xml:space="preserve">Newlink Spain </w:t>
            </w:r>
          </w:p>
          <w:p w14:paraId="0709A77C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Marina Gascón | Patricia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Vizcaíno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| Sara García</w:t>
            </w:r>
          </w:p>
          <w:p w14:paraId="186B073B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651 96 34 59</w:t>
            </w:r>
          </w:p>
          <w:p w14:paraId="5D012B56" w14:textId="77777777" w:rsidR="0034131E" w:rsidRDefault="0034131E">
            <w:pPr>
              <w:spacing w:line="251" w:lineRule="auto"/>
            </w:pPr>
            <w:hyperlink r:id="rId10">
              <w:r>
                <w:rPr>
                  <w:rFonts w:ascii="Century Gothic" w:eastAsia="Century Gothic" w:hAnsi="Century Gothic" w:cs="Century Gothic"/>
                  <w:color w:val="000000"/>
                  <w:sz w:val="16"/>
                  <w:szCs w:val="16"/>
                </w:rPr>
                <w:t>equipo.edenred@newlink-group.com</w:t>
              </w:r>
            </w:hyperlink>
          </w:p>
        </w:tc>
      </w:tr>
    </w:tbl>
    <w:p w14:paraId="2963C93C" w14:textId="77777777" w:rsidR="00760F81" w:rsidRPr="0005776A" w:rsidRDefault="00760F81" w:rsidP="00760F81">
      <w:pPr>
        <w:tabs>
          <w:tab w:val="left" w:pos="2760"/>
        </w:tabs>
        <w:rPr>
          <w:rFonts w:ascii="Century Gothic" w:hAnsi="Century Gothic"/>
          <w:b/>
          <w:bCs/>
          <w:color w:val="auto"/>
          <w:sz w:val="24"/>
          <w:szCs w:val="24"/>
          <w:lang w:val="es-ES"/>
        </w:rPr>
      </w:pPr>
      <w:r w:rsidRPr="0005776A">
        <w:rPr>
          <w:rFonts w:ascii="Century Gothic" w:hAnsi="Century Gothic"/>
          <w:b/>
          <w:bCs/>
          <w:color w:val="auto"/>
          <w:sz w:val="24"/>
          <w:szCs w:val="24"/>
          <w:lang w:val="es-ES"/>
        </w:rPr>
        <w:t>PUBLICACIONES RELACIONADAS</w:t>
      </w:r>
    </w:p>
    <w:p w14:paraId="742BD24B" w14:textId="77777777" w:rsidR="00760F81" w:rsidRPr="0005776A" w:rsidRDefault="00760F81" w:rsidP="00760F81">
      <w:pPr>
        <w:tabs>
          <w:tab w:val="left" w:pos="2760"/>
        </w:tabs>
        <w:rPr>
          <w:rFonts w:ascii="Century Gothic" w:hAnsi="Century Gothic"/>
          <w:color w:val="auto"/>
          <w:lang w:val="es-ES"/>
        </w:rPr>
      </w:pPr>
    </w:p>
    <w:p w14:paraId="502F7CBC" w14:textId="77777777" w:rsidR="00760F81" w:rsidRPr="006D40B0" w:rsidRDefault="00760F81" w:rsidP="00760F81">
      <w:pPr>
        <w:tabs>
          <w:tab w:val="left" w:pos="2760"/>
        </w:tabs>
        <w:rPr>
          <w:rFonts w:ascii="Century Gothic" w:hAnsi="Century Gothic"/>
          <w:color w:val="auto"/>
          <w:lang w:val="es-ES"/>
        </w:rPr>
      </w:pPr>
      <w:r w:rsidRPr="006D40B0">
        <w:rPr>
          <w:rFonts w:ascii="Century Gothic" w:hAnsi="Century Gothic"/>
          <w:color w:val="auto"/>
          <w:lang w:val="es-ES"/>
        </w:rPr>
        <w:t>Si deseas ampliar información sobre este comunicado, puedes consultar las siguientes publicaciones:</w:t>
      </w:r>
    </w:p>
    <w:p w14:paraId="2B44D5B3" w14:textId="77777777" w:rsidR="007A69A6" w:rsidRPr="00EF02D0" w:rsidRDefault="007A69A6" w:rsidP="00EF02D0">
      <w:pPr>
        <w:rPr>
          <w:rFonts w:ascii="Century Gothic" w:hAnsi="Century Gothic"/>
          <w:color w:val="0000FF"/>
          <w:u w:val="single"/>
          <w:lang w:val="es-ES" w:eastAsia="zh-TW"/>
        </w:rPr>
      </w:pPr>
    </w:p>
    <w:p w14:paraId="03309F47" w14:textId="1EB61ABD" w:rsidR="00EF02D0" w:rsidRPr="00337317" w:rsidRDefault="007A69A6" w:rsidP="00EF02D0">
      <w:pPr>
        <w:pStyle w:val="Prrafodelista"/>
        <w:numPr>
          <w:ilvl w:val="0"/>
          <w:numId w:val="11"/>
        </w:numPr>
        <w:suppressAutoHyphens w:val="0"/>
        <w:spacing w:line="240" w:lineRule="auto"/>
        <w:contextualSpacing w:val="0"/>
        <w:rPr>
          <w:rFonts w:ascii="Century Gothic" w:hAnsi="Century Gothic" w:cs="Calibri"/>
          <w:lang w:val="es-ES" w:eastAsia="zh-TW"/>
        </w:rPr>
      </w:pPr>
      <w:r w:rsidRPr="00337317">
        <w:rPr>
          <w:rFonts w:ascii="Century Gothic" w:hAnsi="Century Gothic" w:cs="Calibri"/>
          <w:b/>
          <w:bCs/>
          <w:color w:val="000000"/>
          <w:lang w:val="es-ES"/>
        </w:rPr>
        <w:t>La Razón</w:t>
      </w:r>
      <w:r w:rsidR="00EF02D0" w:rsidRPr="00337317">
        <w:rPr>
          <w:rFonts w:ascii="Century Gothic" w:hAnsi="Century Gothic" w:cs="Calibri"/>
          <w:b/>
          <w:bCs/>
          <w:color w:val="000000"/>
          <w:lang w:val="es-ES"/>
        </w:rPr>
        <w:t>:</w:t>
      </w:r>
      <w:r w:rsidRPr="00337317">
        <w:rPr>
          <w:rFonts w:ascii="Century Gothic" w:hAnsi="Century Gothic" w:cs="Calibri"/>
          <w:color w:val="000000"/>
          <w:lang w:val="es-ES"/>
        </w:rPr>
        <w:t xml:space="preserve"> </w:t>
      </w:r>
      <w:hyperlink r:id="rId11" w:tgtFrame="_blank" w:history="1">
        <w:r w:rsidRPr="00337317">
          <w:rPr>
            <w:rStyle w:val="Hipervnculo"/>
            <w:rFonts w:ascii="Century Gothic" w:hAnsi="Century Gothic" w:cs="Calibri"/>
            <w:lang w:val="es-ES"/>
          </w:rPr>
          <w:t>Solo el 25% de los madrileños está satisfecho con su salario</w:t>
        </w:r>
      </w:hyperlink>
    </w:p>
    <w:p w14:paraId="4EA064BA" w14:textId="77777777" w:rsidR="00EF02D0" w:rsidRPr="00337317" w:rsidRDefault="00EF02D0" w:rsidP="00EF02D0">
      <w:pPr>
        <w:pStyle w:val="Prrafodelista"/>
        <w:suppressAutoHyphens w:val="0"/>
        <w:spacing w:line="240" w:lineRule="auto"/>
        <w:ind w:left="1068"/>
        <w:contextualSpacing w:val="0"/>
        <w:rPr>
          <w:rFonts w:ascii="Century Gothic" w:hAnsi="Century Gothic" w:cs="Calibri"/>
          <w:lang w:val="es-ES" w:eastAsia="zh-TW"/>
        </w:rPr>
      </w:pPr>
    </w:p>
    <w:p w14:paraId="4EE70D6B" w14:textId="77777777" w:rsidR="007A69A6" w:rsidRPr="00337317" w:rsidRDefault="007A69A6" w:rsidP="007A69A6">
      <w:pPr>
        <w:pStyle w:val="Prrafodelista"/>
        <w:numPr>
          <w:ilvl w:val="0"/>
          <w:numId w:val="11"/>
        </w:numPr>
        <w:suppressAutoHyphens w:val="0"/>
        <w:spacing w:line="240" w:lineRule="auto"/>
        <w:contextualSpacing w:val="0"/>
        <w:rPr>
          <w:rFonts w:ascii="Century Gothic" w:hAnsi="Century Gothic" w:cs="Aptos"/>
          <w:color w:val="55517B"/>
          <w:lang w:val="es-ES"/>
        </w:rPr>
      </w:pPr>
      <w:r w:rsidRPr="00337317">
        <w:rPr>
          <w:rFonts w:ascii="Century Gothic" w:hAnsi="Century Gothic" w:cs="Calibri"/>
          <w:b/>
          <w:bCs/>
          <w:color w:val="000000"/>
          <w:lang w:val="es-ES"/>
        </w:rPr>
        <w:t xml:space="preserve">Europa </w:t>
      </w:r>
      <w:proofErr w:type="spellStart"/>
      <w:r w:rsidRPr="00337317">
        <w:rPr>
          <w:rFonts w:ascii="Century Gothic" w:hAnsi="Century Gothic" w:cs="Calibri"/>
          <w:b/>
          <w:bCs/>
          <w:color w:val="000000"/>
          <w:lang w:val="es-ES"/>
        </w:rPr>
        <w:t>Press</w:t>
      </w:r>
      <w:proofErr w:type="spellEnd"/>
      <w:r w:rsidRPr="00337317">
        <w:rPr>
          <w:rFonts w:ascii="Century Gothic" w:hAnsi="Century Gothic" w:cs="Calibri"/>
          <w:b/>
          <w:bCs/>
          <w:color w:val="000000"/>
          <w:lang w:val="es-ES"/>
        </w:rPr>
        <w:t>.</w:t>
      </w:r>
      <w:r w:rsidRPr="00337317">
        <w:rPr>
          <w:rFonts w:ascii="Century Gothic" w:hAnsi="Century Gothic" w:cs="Calibri"/>
          <w:color w:val="000000"/>
          <w:lang w:val="es-ES"/>
        </w:rPr>
        <w:t xml:space="preserve"> </w:t>
      </w:r>
      <w:hyperlink r:id="rId12" w:tgtFrame="_blank" w:history="1">
        <w:r w:rsidRPr="00337317">
          <w:rPr>
            <w:rStyle w:val="Hipervnculo"/>
            <w:rFonts w:ascii="Century Gothic" w:hAnsi="Century Gothic" w:cs="Calibri"/>
            <w:lang w:val="es-ES"/>
          </w:rPr>
          <w:t>El 75,6% de los españoles está "insatisfecho" con su sueldo en 2026, 25 puntos más, según Edenred</w:t>
        </w:r>
      </w:hyperlink>
    </w:p>
    <w:p w14:paraId="46AD207B" w14:textId="77777777" w:rsidR="00EF02D0" w:rsidRPr="00337317" w:rsidRDefault="00EF02D0" w:rsidP="00EF02D0">
      <w:pPr>
        <w:suppressAutoHyphens w:val="0"/>
        <w:spacing w:line="240" w:lineRule="auto"/>
        <w:rPr>
          <w:rStyle w:val="Hipervnculo"/>
          <w:rFonts w:ascii="Century Gothic" w:hAnsi="Century Gothic" w:cs="Aptos"/>
          <w:lang w:val="es-ES"/>
        </w:rPr>
      </w:pPr>
    </w:p>
    <w:p w14:paraId="0B85395D" w14:textId="77777777" w:rsidR="00EF02D0" w:rsidRPr="00337317" w:rsidRDefault="00EF02D0" w:rsidP="00EF02D0">
      <w:pPr>
        <w:pStyle w:val="Prrafodelista"/>
        <w:numPr>
          <w:ilvl w:val="0"/>
          <w:numId w:val="11"/>
        </w:numPr>
        <w:suppressAutoHyphens w:val="0"/>
        <w:spacing w:line="240" w:lineRule="auto"/>
        <w:contextualSpacing w:val="0"/>
        <w:rPr>
          <w:rFonts w:ascii="Century Gothic" w:hAnsi="Century Gothic" w:cs="Calibri"/>
          <w:lang w:val="es-ES" w:eastAsia="zh-TW"/>
        </w:rPr>
      </w:pPr>
      <w:r w:rsidRPr="00337317">
        <w:rPr>
          <w:rFonts w:ascii="Century Gothic" w:hAnsi="Century Gothic" w:cs="Calibri"/>
          <w:b/>
          <w:bCs/>
          <w:color w:val="000000"/>
          <w:lang w:val="es-ES"/>
        </w:rPr>
        <w:t xml:space="preserve">RTVE. </w:t>
      </w:r>
      <w:hyperlink r:id="rId13" w:tgtFrame="_blank" w:history="1">
        <w:r w:rsidRPr="00337317">
          <w:rPr>
            <w:rStyle w:val="Hipervnculo"/>
            <w:rFonts w:ascii="Century Gothic" w:hAnsi="Century Gothic" w:cs="Calibri"/>
            <w:lang w:val="es-ES"/>
          </w:rPr>
          <w:t>Tres de cada cuatro españoles están insatisfechos con su sueldo  </w:t>
        </w:r>
      </w:hyperlink>
    </w:p>
    <w:p w14:paraId="46E9FA88" w14:textId="77777777" w:rsidR="00EF02D0" w:rsidRPr="00337317" w:rsidRDefault="00EF02D0" w:rsidP="00EF02D0">
      <w:pPr>
        <w:pStyle w:val="Prrafodelista"/>
        <w:suppressAutoHyphens w:val="0"/>
        <w:spacing w:line="240" w:lineRule="auto"/>
        <w:ind w:left="1068"/>
        <w:contextualSpacing w:val="0"/>
        <w:rPr>
          <w:rFonts w:ascii="Century Gothic" w:hAnsi="Century Gothic" w:cs="Calibri"/>
          <w:lang w:val="es-ES" w:eastAsia="zh-TW"/>
        </w:rPr>
      </w:pPr>
    </w:p>
    <w:p w14:paraId="10F65F4F" w14:textId="77777777" w:rsidR="00EF02D0" w:rsidRPr="00337317" w:rsidRDefault="00EF02D0" w:rsidP="00EF02D0">
      <w:pPr>
        <w:pStyle w:val="Prrafodelista"/>
        <w:numPr>
          <w:ilvl w:val="0"/>
          <w:numId w:val="11"/>
        </w:numPr>
        <w:suppressAutoHyphens w:val="0"/>
        <w:spacing w:line="240" w:lineRule="auto"/>
        <w:contextualSpacing w:val="0"/>
        <w:rPr>
          <w:rStyle w:val="Hipervnculo"/>
          <w:rFonts w:ascii="Century Gothic" w:hAnsi="Century Gothic" w:cs="Aptos"/>
          <w:b/>
          <w:bCs/>
          <w:lang w:val="es-ES"/>
        </w:rPr>
      </w:pPr>
      <w:proofErr w:type="spellStart"/>
      <w:r w:rsidRPr="00337317">
        <w:rPr>
          <w:rFonts w:ascii="Century Gothic" w:hAnsi="Century Gothic" w:cs="Calibri"/>
          <w:b/>
          <w:bCs/>
          <w:color w:val="000000"/>
          <w:lang w:val="es-ES"/>
        </w:rPr>
        <w:t>TeleMadrid</w:t>
      </w:r>
      <w:proofErr w:type="spellEnd"/>
      <w:r w:rsidRPr="00337317">
        <w:rPr>
          <w:rFonts w:ascii="Century Gothic" w:hAnsi="Century Gothic" w:cs="Calibri"/>
          <w:b/>
          <w:bCs/>
          <w:color w:val="000000"/>
          <w:lang w:val="es-ES"/>
        </w:rPr>
        <w:t xml:space="preserve">. </w:t>
      </w:r>
      <w:hyperlink r:id="rId14" w:history="1">
        <w:r w:rsidRPr="00337317">
          <w:rPr>
            <w:rStyle w:val="Hipervnculo"/>
            <w:rFonts w:ascii="Century Gothic" w:hAnsi="Century Gothic" w:cs="Calibri"/>
            <w:lang w:val="es-ES"/>
          </w:rPr>
          <w:t>Tres de cada cuatro trabajadores españoles están insatisfechos con su empleo</w:t>
        </w:r>
      </w:hyperlink>
    </w:p>
    <w:p w14:paraId="62FFDE23" w14:textId="77777777" w:rsidR="0034131E" w:rsidRPr="00EF02D0" w:rsidRDefault="0034131E" w:rsidP="00EF02D0">
      <w:pPr>
        <w:suppressAutoHyphens w:val="0"/>
        <w:spacing w:line="240" w:lineRule="auto"/>
        <w:rPr>
          <w:rFonts w:ascii="Century Gothic" w:hAnsi="Century Gothic"/>
          <w:color w:val="0000FF"/>
          <w:u w:val="single"/>
          <w:lang w:val="es-ES" w:eastAsia="zh-TW"/>
        </w:rPr>
      </w:pPr>
    </w:p>
    <w:sectPr w:rsidR="0034131E" w:rsidRPr="00EF02D0">
      <w:footerReference w:type="default" r:id="rId15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DFBD0" w14:textId="77777777" w:rsidR="00090CE2" w:rsidRDefault="00090CE2">
      <w:pPr>
        <w:spacing w:line="240" w:lineRule="auto"/>
      </w:pPr>
      <w:r>
        <w:separator/>
      </w:r>
    </w:p>
  </w:endnote>
  <w:endnote w:type="continuationSeparator" w:id="0">
    <w:p w14:paraId="78CAFDD9" w14:textId="77777777" w:rsidR="00090CE2" w:rsidRDefault="00090C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BF741D56-CB1D-4F0E-B7A6-D5CC9623FE47}"/>
    <w:embedBold r:id="rId2" w:fontKey="{5916160E-00A3-4A29-8A51-25438847F393}"/>
    <w:embedItalic r:id="rId3" w:fontKey="{1D387832-DF8B-426B-AF41-A875CA5202CC}"/>
    <w:embedBoldItalic r:id="rId4" w:fontKey="{87291397-6927-42B3-A1F4-9DE61746913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59FCBDA2-16C9-4953-A80F-4A274D167D6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2764214F-667F-46E4-B185-A01596822DA3}"/>
    <w:embedBold r:id="rId7" w:fontKey="{3909B1FE-0C37-40B3-A2AC-11C4DC3A8C6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E69B4564-D76F-44AB-8233-F3CFE207882A}"/>
    <w:embedItalic r:id="rId9" w:fontKey="{7E444B8C-22E7-45AB-9777-EEE42FE923D6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0" w:fontKey="{C799F290-4C4B-4D8B-8EF6-C02E842E594B}"/>
    <w:embedBold r:id="rId11" w:fontKey="{DE56D1A0-1B11-4B31-B18A-016AC174AE36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2" w:fontKey="{6D75175A-F385-4BD2-9035-82C4F241F7B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55193" w14:textId="77777777" w:rsidR="0034131E" w:rsidRDefault="00E660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B5CB540" wp14:editId="6EA21FCE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525697" cy="337303"/>
          <wp:effectExtent l="0" t="0" r="0" b="0"/>
          <wp:wrapNone/>
          <wp:docPr id="827937672" name="image1.png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5697" cy="3373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B277B" w14:textId="77777777" w:rsidR="00090CE2" w:rsidRDefault="00090CE2">
      <w:pPr>
        <w:spacing w:line="240" w:lineRule="auto"/>
      </w:pPr>
      <w:r>
        <w:separator/>
      </w:r>
    </w:p>
  </w:footnote>
  <w:footnote w:type="continuationSeparator" w:id="0">
    <w:p w14:paraId="1289526F" w14:textId="77777777" w:rsidR="00090CE2" w:rsidRDefault="00090C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44AC5"/>
    <w:multiLevelType w:val="multilevel"/>
    <w:tmpl w:val="640A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54FB0"/>
    <w:multiLevelType w:val="multilevel"/>
    <w:tmpl w:val="99C81776"/>
    <w:lvl w:ilvl="0">
      <w:start w:val="1"/>
      <w:numFmt w:val="decimal"/>
      <w:pStyle w:val="BoxBulle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55B5FD5"/>
    <w:multiLevelType w:val="multilevel"/>
    <w:tmpl w:val="8FEE0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866DFC"/>
    <w:multiLevelType w:val="multilevel"/>
    <w:tmpl w:val="7BEEF018"/>
    <w:lvl w:ilvl="0">
      <w:start w:val="1"/>
      <w:numFmt w:val="bullet"/>
      <w:pStyle w:val="BulletLead-in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64B1BCF"/>
    <w:multiLevelType w:val="hybridMultilevel"/>
    <w:tmpl w:val="2F66B3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9529C"/>
    <w:multiLevelType w:val="hybridMultilevel"/>
    <w:tmpl w:val="D3C2637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B21CF7"/>
    <w:multiLevelType w:val="multilevel"/>
    <w:tmpl w:val="E9B8B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852E3A"/>
    <w:multiLevelType w:val="hybridMultilevel"/>
    <w:tmpl w:val="299A610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76F7F25"/>
    <w:multiLevelType w:val="multilevel"/>
    <w:tmpl w:val="21AE5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D81B8E"/>
    <w:multiLevelType w:val="hybridMultilevel"/>
    <w:tmpl w:val="7722DF90"/>
    <w:lvl w:ilvl="0" w:tplc="AC9EDCC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40246018">
    <w:abstractNumId w:val="3"/>
  </w:num>
  <w:num w:numId="2" w16cid:durableId="620915189">
    <w:abstractNumId w:val="1"/>
  </w:num>
  <w:num w:numId="3" w16cid:durableId="9502821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3698190">
    <w:abstractNumId w:val="0"/>
  </w:num>
  <w:num w:numId="5" w16cid:durableId="1620795933">
    <w:abstractNumId w:val="6"/>
  </w:num>
  <w:num w:numId="6" w16cid:durableId="615062920">
    <w:abstractNumId w:val="8"/>
  </w:num>
  <w:num w:numId="7" w16cid:durableId="1644777061">
    <w:abstractNumId w:val="5"/>
  </w:num>
  <w:num w:numId="8" w16cid:durableId="948393040">
    <w:abstractNumId w:val="4"/>
  </w:num>
  <w:num w:numId="9" w16cid:durableId="1445342659">
    <w:abstractNumId w:val="7"/>
  </w:num>
  <w:num w:numId="10" w16cid:durableId="1104036525">
    <w:abstractNumId w:val="2"/>
  </w:num>
  <w:num w:numId="11" w16cid:durableId="528957015">
    <w:abstractNumId w:val="9"/>
  </w:num>
  <w:num w:numId="12" w16cid:durableId="7363171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31E"/>
    <w:rsid w:val="00001131"/>
    <w:rsid w:val="000068E3"/>
    <w:rsid w:val="00011EFF"/>
    <w:rsid w:val="00013A30"/>
    <w:rsid w:val="00021F2B"/>
    <w:rsid w:val="00022255"/>
    <w:rsid w:val="00025F65"/>
    <w:rsid w:val="00026093"/>
    <w:rsid w:val="00026B5B"/>
    <w:rsid w:val="000279E7"/>
    <w:rsid w:val="000323C6"/>
    <w:rsid w:val="00035309"/>
    <w:rsid w:val="0003750C"/>
    <w:rsid w:val="00041721"/>
    <w:rsid w:val="000417DA"/>
    <w:rsid w:val="0004474C"/>
    <w:rsid w:val="00044A95"/>
    <w:rsid w:val="00044DD4"/>
    <w:rsid w:val="000500F1"/>
    <w:rsid w:val="000512F0"/>
    <w:rsid w:val="00053526"/>
    <w:rsid w:val="0005490B"/>
    <w:rsid w:val="00054F03"/>
    <w:rsid w:val="00063563"/>
    <w:rsid w:val="00071659"/>
    <w:rsid w:val="0007216B"/>
    <w:rsid w:val="00072CD0"/>
    <w:rsid w:val="000806C9"/>
    <w:rsid w:val="000873EB"/>
    <w:rsid w:val="000909E3"/>
    <w:rsid w:val="00090CE2"/>
    <w:rsid w:val="00092205"/>
    <w:rsid w:val="000960A1"/>
    <w:rsid w:val="000A4CBF"/>
    <w:rsid w:val="000A4CC7"/>
    <w:rsid w:val="000A6E3C"/>
    <w:rsid w:val="000B15B7"/>
    <w:rsid w:val="000B15CF"/>
    <w:rsid w:val="000B6647"/>
    <w:rsid w:val="000D11DA"/>
    <w:rsid w:val="000E5BEA"/>
    <w:rsid w:val="000F4162"/>
    <w:rsid w:val="000F62E7"/>
    <w:rsid w:val="000F7F7F"/>
    <w:rsid w:val="00102E83"/>
    <w:rsid w:val="00103781"/>
    <w:rsid w:val="00106125"/>
    <w:rsid w:val="00120AE5"/>
    <w:rsid w:val="00121CF0"/>
    <w:rsid w:val="00124824"/>
    <w:rsid w:val="00125440"/>
    <w:rsid w:val="0013109D"/>
    <w:rsid w:val="001325F8"/>
    <w:rsid w:val="00133556"/>
    <w:rsid w:val="001357AA"/>
    <w:rsid w:val="001361C7"/>
    <w:rsid w:val="00145926"/>
    <w:rsid w:val="001509D5"/>
    <w:rsid w:val="00150B39"/>
    <w:rsid w:val="001533EB"/>
    <w:rsid w:val="001555F2"/>
    <w:rsid w:val="00170411"/>
    <w:rsid w:val="001724EC"/>
    <w:rsid w:val="0017574A"/>
    <w:rsid w:val="001832D9"/>
    <w:rsid w:val="001834C2"/>
    <w:rsid w:val="0018413A"/>
    <w:rsid w:val="00187A61"/>
    <w:rsid w:val="0019048A"/>
    <w:rsid w:val="0019097E"/>
    <w:rsid w:val="0019231F"/>
    <w:rsid w:val="00196D68"/>
    <w:rsid w:val="00197C5A"/>
    <w:rsid w:val="001B1E38"/>
    <w:rsid w:val="001B3304"/>
    <w:rsid w:val="001B6A92"/>
    <w:rsid w:val="001B6F44"/>
    <w:rsid w:val="001C4938"/>
    <w:rsid w:val="001C5826"/>
    <w:rsid w:val="001C6CEF"/>
    <w:rsid w:val="001D2A91"/>
    <w:rsid w:val="001D65D3"/>
    <w:rsid w:val="001D6EE6"/>
    <w:rsid w:val="001E1DC3"/>
    <w:rsid w:val="001E738B"/>
    <w:rsid w:val="001F077B"/>
    <w:rsid w:val="001F472E"/>
    <w:rsid w:val="001F4EB2"/>
    <w:rsid w:val="001F79A2"/>
    <w:rsid w:val="002023FC"/>
    <w:rsid w:val="002029B0"/>
    <w:rsid w:val="00202F85"/>
    <w:rsid w:val="00203ED1"/>
    <w:rsid w:val="00205DE2"/>
    <w:rsid w:val="002101D2"/>
    <w:rsid w:val="0021067C"/>
    <w:rsid w:val="00215502"/>
    <w:rsid w:val="00215938"/>
    <w:rsid w:val="00220411"/>
    <w:rsid w:val="002217FD"/>
    <w:rsid w:val="00225B22"/>
    <w:rsid w:val="00234254"/>
    <w:rsid w:val="0023680A"/>
    <w:rsid w:val="00240BFF"/>
    <w:rsid w:val="00240C55"/>
    <w:rsid w:val="002500B4"/>
    <w:rsid w:val="00251D9A"/>
    <w:rsid w:val="00251F81"/>
    <w:rsid w:val="002636E6"/>
    <w:rsid w:val="0026388D"/>
    <w:rsid w:val="002665DB"/>
    <w:rsid w:val="00266DE6"/>
    <w:rsid w:val="002700CD"/>
    <w:rsid w:val="00270612"/>
    <w:rsid w:val="002A08A5"/>
    <w:rsid w:val="002A58F6"/>
    <w:rsid w:val="002A5E62"/>
    <w:rsid w:val="002AC8F9"/>
    <w:rsid w:val="002B2563"/>
    <w:rsid w:val="002D4BFB"/>
    <w:rsid w:val="002D5F4A"/>
    <w:rsid w:val="002E2116"/>
    <w:rsid w:val="002E4084"/>
    <w:rsid w:val="002F3F7E"/>
    <w:rsid w:val="002F678E"/>
    <w:rsid w:val="002F6B0B"/>
    <w:rsid w:val="00300E23"/>
    <w:rsid w:val="00306C54"/>
    <w:rsid w:val="00306D84"/>
    <w:rsid w:val="00312F48"/>
    <w:rsid w:val="00316012"/>
    <w:rsid w:val="00323902"/>
    <w:rsid w:val="00334C1D"/>
    <w:rsid w:val="00337317"/>
    <w:rsid w:val="0034131E"/>
    <w:rsid w:val="00346AD9"/>
    <w:rsid w:val="003470F9"/>
    <w:rsid w:val="00347207"/>
    <w:rsid w:val="00350B2A"/>
    <w:rsid w:val="00352B26"/>
    <w:rsid w:val="003530F0"/>
    <w:rsid w:val="00356430"/>
    <w:rsid w:val="0035750B"/>
    <w:rsid w:val="00357DC5"/>
    <w:rsid w:val="00366F6B"/>
    <w:rsid w:val="00372049"/>
    <w:rsid w:val="00372C87"/>
    <w:rsid w:val="00373468"/>
    <w:rsid w:val="00381915"/>
    <w:rsid w:val="00382F06"/>
    <w:rsid w:val="003845A2"/>
    <w:rsid w:val="003871DC"/>
    <w:rsid w:val="0039534F"/>
    <w:rsid w:val="003A15A6"/>
    <w:rsid w:val="003A161C"/>
    <w:rsid w:val="003A6ABA"/>
    <w:rsid w:val="003B08CC"/>
    <w:rsid w:val="003B1B90"/>
    <w:rsid w:val="003B3C5A"/>
    <w:rsid w:val="003B4902"/>
    <w:rsid w:val="003B6073"/>
    <w:rsid w:val="003C0022"/>
    <w:rsid w:val="003C379A"/>
    <w:rsid w:val="003D2293"/>
    <w:rsid w:val="003D5524"/>
    <w:rsid w:val="003E22C4"/>
    <w:rsid w:val="003E2FB8"/>
    <w:rsid w:val="003E6181"/>
    <w:rsid w:val="003E7120"/>
    <w:rsid w:val="003F3ADE"/>
    <w:rsid w:val="00406D45"/>
    <w:rsid w:val="004162FF"/>
    <w:rsid w:val="004238E3"/>
    <w:rsid w:val="00426C72"/>
    <w:rsid w:val="00427E2A"/>
    <w:rsid w:val="00440013"/>
    <w:rsid w:val="004402DC"/>
    <w:rsid w:val="00447E8B"/>
    <w:rsid w:val="0045258F"/>
    <w:rsid w:val="0045496E"/>
    <w:rsid w:val="00457E63"/>
    <w:rsid w:val="00461C46"/>
    <w:rsid w:val="00463785"/>
    <w:rsid w:val="004667CC"/>
    <w:rsid w:val="0047282A"/>
    <w:rsid w:val="00473102"/>
    <w:rsid w:val="00483A6A"/>
    <w:rsid w:val="004947B0"/>
    <w:rsid w:val="004A2108"/>
    <w:rsid w:val="004B0ABE"/>
    <w:rsid w:val="004B1BA1"/>
    <w:rsid w:val="004B6C7F"/>
    <w:rsid w:val="004C0418"/>
    <w:rsid w:val="004C1815"/>
    <w:rsid w:val="004C218A"/>
    <w:rsid w:val="004C278C"/>
    <w:rsid w:val="004D1A4F"/>
    <w:rsid w:val="004D52D6"/>
    <w:rsid w:val="004D721E"/>
    <w:rsid w:val="004E3B8A"/>
    <w:rsid w:val="004E5017"/>
    <w:rsid w:val="004E5676"/>
    <w:rsid w:val="00505983"/>
    <w:rsid w:val="00505EFC"/>
    <w:rsid w:val="0051220E"/>
    <w:rsid w:val="005160D2"/>
    <w:rsid w:val="005309A9"/>
    <w:rsid w:val="00543B1F"/>
    <w:rsid w:val="00550198"/>
    <w:rsid w:val="00551AB2"/>
    <w:rsid w:val="00562128"/>
    <w:rsid w:val="00562D4C"/>
    <w:rsid w:val="00563FF4"/>
    <w:rsid w:val="005665AD"/>
    <w:rsid w:val="005667E4"/>
    <w:rsid w:val="00571E27"/>
    <w:rsid w:val="0057489F"/>
    <w:rsid w:val="005763AD"/>
    <w:rsid w:val="00577129"/>
    <w:rsid w:val="00582CBC"/>
    <w:rsid w:val="0058460A"/>
    <w:rsid w:val="00584BD2"/>
    <w:rsid w:val="00584EC4"/>
    <w:rsid w:val="00590726"/>
    <w:rsid w:val="00590FFE"/>
    <w:rsid w:val="005A0C33"/>
    <w:rsid w:val="005A49F7"/>
    <w:rsid w:val="005B0337"/>
    <w:rsid w:val="005B16E6"/>
    <w:rsid w:val="005D09EE"/>
    <w:rsid w:val="005D44D8"/>
    <w:rsid w:val="005D4DAC"/>
    <w:rsid w:val="005D5C33"/>
    <w:rsid w:val="005D62B1"/>
    <w:rsid w:val="005E081D"/>
    <w:rsid w:val="005E195F"/>
    <w:rsid w:val="005E7619"/>
    <w:rsid w:val="005F29B7"/>
    <w:rsid w:val="005F473E"/>
    <w:rsid w:val="00600759"/>
    <w:rsid w:val="006053DD"/>
    <w:rsid w:val="00605A7B"/>
    <w:rsid w:val="00615D5D"/>
    <w:rsid w:val="006161AE"/>
    <w:rsid w:val="006364CE"/>
    <w:rsid w:val="00637083"/>
    <w:rsid w:val="00643275"/>
    <w:rsid w:val="00643AAD"/>
    <w:rsid w:val="00643ACC"/>
    <w:rsid w:val="006510CB"/>
    <w:rsid w:val="006552E5"/>
    <w:rsid w:val="00660196"/>
    <w:rsid w:val="00665B97"/>
    <w:rsid w:val="006662D7"/>
    <w:rsid w:val="006665A6"/>
    <w:rsid w:val="006674B5"/>
    <w:rsid w:val="00667F07"/>
    <w:rsid w:val="006733D2"/>
    <w:rsid w:val="00673AA3"/>
    <w:rsid w:val="006807F3"/>
    <w:rsid w:val="0068486D"/>
    <w:rsid w:val="00691AE3"/>
    <w:rsid w:val="00693F0F"/>
    <w:rsid w:val="006A2018"/>
    <w:rsid w:val="006B6631"/>
    <w:rsid w:val="006B70BE"/>
    <w:rsid w:val="006C703E"/>
    <w:rsid w:val="006D0E3A"/>
    <w:rsid w:val="006D4363"/>
    <w:rsid w:val="006D6342"/>
    <w:rsid w:val="006E4D06"/>
    <w:rsid w:val="006E6527"/>
    <w:rsid w:val="006F41E2"/>
    <w:rsid w:val="00705CB8"/>
    <w:rsid w:val="00711AC4"/>
    <w:rsid w:val="00713AC2"/>
    <w:rsid w:val="00714118"/>
    <w:rsid w:val="007142AE"/>
    <w:rsid w:val="0071623A"/>
    <w:rsid w:val="00720D3A"/>
    <w:rsid w:val="00726216"/>
    <w:rsid w:val="00731B4D"/>
    <w:rsid w:val="007377A1"/>
    <w:rsid w:val="007404EB"/>
    <w:rsid w:val="00740751"/>
    <w:rsid w:val="0074182A"/>
    <w:rsid w:val="007464E8"/>
    <w:rsid w:val="00751D20"/>
    <w:rsid w:val="007526FE"/>
    <w:rsid w:val="007549BB"/>
    <w:rsid w:val="00754BD4"/>
    <w:rsid w:val="0075745C"/>
    <w:rsid w:val="00760F81"/>
    <w:rsid w:val="007624FC"/>
    <w:rsid w:val="00773518"/>
    <w:rsid w:val="0078018B"/>
    <w:rsid w:val="007818AD"/>
    <w:rsid w:val="007939DF"/>
    <w:rsid w:val="00793DB6"/>
    <w:rsid w:val="007A18EE"/>
    <w:rsid w:val="007A254F"/>
    <w:rsid w:val="007A35E3"/>
    <w:rsid w:val="007A4627"/>
    <w:rsid w:val="007A4899"/>
    <w:rsid w:val="007A69A6"/>
    <w:rsid w:val="007A788E"/>
    <w:rsid w:val="007A7BB9"/>
    <w:rsid w:val="007B3D8D"/>
    <w:rsid w:val="007B551B"/>
    <w:rsid w:val="007C753D"/>
    <w:rsid w:val="007C7B55"/>
    <w:rsid w:val="007D0948"/>
    <w:rsid w:val="007D1E1B"/>
    <w:rsid w:val="007D630D"/>
    <w:rsid w:val="007D6B86"/>
    <w:rsid w:val="007E0322"/>
    <w:rsid w:val="007E0FDF"/>
    <w:rsid w:val="007E495E"/>
    <w:rsid w:val="007F01E3"/>
    <w:rsid w:val="007F7CA8"/>
    <w:rsid w:val="00801E8F"/>
    <w:rsid w:val="0080284E"/>
    <w:rsid w:val="0080549B"/>
    <w:rsid w:val="0081117A"/>
    <w:rsid w:val="00824205"/>
    <w:rsid w:val="0083385A"/>
    <w:rsid w:val="00833D4F"/>
    <w:rsid w:val="0084066C"/>
    <w:rsid w:val="00841129"/>
    <w:rsid w:val="00847878"/>
    <w:rsid w:val="00850C2C"/>
    <w:rsid w:val="00853C9D"/>
    <w:rsid w:val="00857B31"/>
    <w:rsid w:val="00861582"/>
    <w:rsid w:val="00862621"/>
    <w:rsid w:val="00867695"/>
    <w:rsid w:val="00870D53"/>
    <w:rsid w:val="00875B56"/>
    <w:rsid w:val="008772FF"/>
    <w:rsid w:val="00880B27"/>
    <w:rsid w:val="0088391F"/>
    <w:rsid w:val="008919FD"/>
    <w:rsid w:val="0089688A"/>
    <w:rsid w:val="008A16A5"/>
    <w:rsid w:val="008B1380"/>
    <w:rsid w:val="008B282B"/>
    <w:rsid w:val="008B3796"/>
    <w:rsid w:val="008B41AE"/>
    <w:rsid w:val="008C1849"/>
    <w:rsid w:val="008C5C42"/>
    <w:rsid w:val="008D4734"/>
    <w:rsid w:val="008D77A2"/>
    <w:rsid w:val="008D7C6D"/>
    <w:rsid w:val="008F3210"/>
    <w:rsid w:val="008F4B3F"/>
    <w:rsid w:val="008F64D6"/>
    <w:rsid w:val="00904EF9"/>
    <w:rsid w:val="00905875"/>
    <w:rsid w:val="00905A93"/>
    <w:rsid w:val="00915638"/>
    <w:rsid w:val="0092607F"/>
    <w:rsid w:val="00926BB0"/>
    <w:rsid w:val="00931361"/>
    <w:rsid w:val="00931369"/>
    <w:rsid w:val="00936408"/>
    <w:rsid w:val="00941FE5"/>
    <w:rsid w:val="0094201D"/>
    <w:rsid w:val="009437D4"/>
    <w:rsid w:val="009602CE"/>
    <w:rsid w:val="0096069A"/>
    <w:rsid w:val="00961E0C"/>
    <w:rsid w:val="009631D2"/>
    <w:rsid w:val="00964ABE"/>
    <w:rsid w:val="00965577"/>
    <w:rsid w:val="00965623"/>
    <w:rsid w:val="00971FE1"/>
    <w:rsid w:val="009748EF"/>
    <w:rsid w:val="009762B7"/>
    <w:rsid w:val="0097713A"/>
    <w:rsid w:val="00980339"/>
    <w:rsid w:val="00986382"/>
    <w:rsid w:val="00987724"/>
    <w:rsid w:val="009952CA"/>
    <w:rsid w:val="00997EF9"/>
    <w:rsid w:val="009A6777"/>
    <w:rsid w:val="009A6BE4"/>
    <w:rsid w:val="009C2205"/>
    <w:rsid w:val="009C2F55"/>
    <w:rsid w:val="009D6110"/>
    <w:rsid w:val="009D649A"/>
    <w:rsid w:val="009D71F7"/>
    <w:rsid w:val="009E4AFC"/>
    <w:rsid w:val="009F081E"/>
    <w:rsid w:val="009F4EA4"/>
    <w:rsid w:val="009F5D79"/>
    <w:rsid w:val="00A0047A"/>
    <w:rsid w:val="00A0688B"/>
    <w:rsid w:val="00A120D0"/>
    <w:rsid w:val="00A12632"/>
    <w:rsid w:val="00A153E8"/>
    <w:rsid w:val="00A21212"/>
    <w:rsid w:val="00A214CE"/>
    <w:rsid w:val="00A31F02"/>
    <w:rsid w:val="00A329FB"/>
    <w:rsid w:val="00A35A72"/>
    <w:rsid w:val="00A41638"/>
    <w:rsid w:val="00A446DD"/>
    <w:rsid w:val="00A458BE"/>
    <w:rsid w:val="00A50C82"/>
    <w:rsid w:val="00A514EC"/>
    <w:rsid w:val="00A51A29"/>
    <w:rsid w:val="00A5588B"/>
    <w:rsid w:val="00A63651"/>
    <w:rsid w:val="00A6484B"/>
    <w:rsid w:val="00A72075"/>
    <w:rsid w:val="00A73751"/>
    <w:rsid w:val="00A73F40"/>
    <w:rsid w:val="00A74DCA"/>
    <w:rsid w:val="00A76561"/>
    <w:rsid w:val="00A849F0"/>
    <w:rsid w:val="00A906EA"/>
    <w:rsid w:val="00A942B7"/>
    <w:rsid w:val="00A9530E"/>
    <w:rsid w:val="00A95D2A"/>
    <w:rsid w:val="00AA27C3"/>
    <w:rsid w:val="00AB0162"/>
    <w:rsid w:val="00AB1CC7"/>
    <w:rsid w:val="00AB2022"/>
    <w:rsid w:val="00AC25DE"/>
    <w:rsid w:val="00AD5033"/>
    <w:rsid w:val="00AE6FF0"/>
    <w:rsid w:val="00B127EA"/>
    <w:rsid w:val="00B143A4"/>
    <w:rsid w:val="00B15D8C"/>
    <w:rsid w:val="00B16C0F"/>
    <w:rsid w:val="00B23C31"/>
    <w:rsid w:val="00B35B98"/>
    <w:rsid w:val="00B36776"/>
    <w:rsid w:val="00B36B0E"/>
    <w:rsid w:val="00B36B85"/>
    <w:rsid w:val="00B40130"/>
    <w:rsid w:val="00B43D04"/>
    <w:rsid w:val="00B472F1"/>
    <w:rsid w:val="00B52170"/>
    <w:rsid w:val="00B565C4"/>
    <w:rsid w:val="00B64960"/>
    <w:rsid w:val="00B64D87"/>
    <w:rsid w:val="00B70AFB"/>
    <w:rsid w:val="00B73F27"/>
    <w:rsid w:val="00B96983"/>
    <w:rsid w:val="00BA20C4"/>
    <w:rsid w:val="00BA70E9"/>
    <w:rsid w:val="00BB21A0"/>
    <w:rsid w:val="00BB29B5"/>
    <w:rsid w:val="00BB4148"/>
    <w:rsid w:val="00BC2C3B"/>
    <w:rsid w:val="00BC30A8"/>
    <w:rsid w:val="00BC52B4"/>
    <w:rsid w:val="00BC6A55"/>
    <w:rsid w:val="00BC7B11"/>
    <w:rsid w:val="00BD2594"/>
    <w:rsid w:val="00BE1228"/>
    <w:rsid w:val="00BE6107"/>
    <w:rsid w:val="00BE6191"/>
    <w:rsid w:val="00BF2B35"/>
    <w:rsid w:val="00BF2B92"/>
    <w:rsid w:val="00BF506B"/>
    <w:rsid w:val="00C03BAF"/>
    <w:rsid w:val="00C07602"/>
    <w:rsid w:val="00C07913"/>
    <w:rsid w:val="00C16BE2"/>
    <w:rsid w:val="00C224DC"/>
    <w:rsid w:val="00C241ED"/>
    <w:rsid w:val="00C247B0"/>
    <w:rsid w:val="00C2742B"/>
    <w:rsid w:val="00C27DEB"/>
    <w:rsid w:val="00C355E6"/>
    <w:rsid w:val="00C35DD4"/>
    <w:rsid w:val="00C36F8C"/>
    <w:rsid w:val="00C40BEB"/>
    <w:rsid w:val="00C53F92"/>
    <w:rsid w:val="00C5487A"/>
    <w:rsid w:val="00C54FD6"/>
    <w:rsid w:val="00C5693F"/>
    <w:rsid w:val="00C62290"/>
    <w:rsid w:val="00C63AA1"/>
    <w:rsid w:val="00C7766C"/>
    <w:rsid w:val="00C847F1"/>
    <w:rsid w:val="00C85D30"/>
    <w:rsid w:val="00C90D89"/>
    <w:rsid w:val="00CA154F"/>
    <w:rsid w:val="00CA6FAD"/>
    <w:rsid w:val="00CA72DC"/>
    <w:rsid w:val="00CB0361"/>
    <w:rsid w:val="00CB2292"/>
    <w:rsid w:val="00CB27EF"/>
    <w:rsid w:val="00CB3941"/>
    <w:rsid w:val="00CB702A"/>
    <w:rsid w:val="00CB791B"/>
    <w:rsid w:val="00CD4EB0"/>
    <w:rsid w:val="00CD5537"/>
    <w:rsid w:val="00CD5AEC"/>
    <w:rsid w:val="00CD72E9"/>
    <w:rsid w:val="00CE15AF"/>
    <w:rsid w:val="00CF30BA"/>
    <w:rsid w:val="00D033DB"/>
    <w:rsid w:val="00D03656"/>
    <w:rsid w:val="00D0419E"/>
    <w:rsid w:val="00D13FE4"/>
    <w:rsid w:val="00D17EE6"/>
    <w:rsid w:val="00D205FF"/>
    <w:rsid w:val="00D22A67"/>
    <w:rsid w:val="00D3189C"/>
    <w:rsid w:val="00D339B9"/>
    <w:rsid w:val="00D50666"/>
    <w:rsid w:val="00D55F52"/>
    <w:rsid w:val="00D60657"/>
    <w:rsid w:val="00D65F74"/>
    <w:rsid w:val="00D77A2F"/>
    <w:rsid w:val="00D803AC"/>
    <w:rsid w:val="00D86BEA"/>
    <w:rsid w:val="00D87718"/>
    <w:rsid w:val="00D91B81"/>
    <w:rsid w:val="00D92E54"/>
    <w:rsid w:val="00D92F2E"/>
    <w:rsid w:val="00DA01E7"/>
    <w:rsid w:val="00DA44E2"/>
    <w:rsid w:val="00DA4651"/>
    <w:rsid w:val="00DB05D1"/>
    <w:rsid w:val="00DB0FC4"/>
    <w:rsid w:val="00DB1135"/>
    <w:rsid w:val="00DD3D1D"/>
    <w:rsid w:val="00DD5276"/>
    <w:rsid w:val="00DE08BD"/>
    <w:rsid w:val="00DE0B37"/>
    <w:rsid w:val="00DE42DC"/>
    <w:rsid w:val="00DE7FC7"/>
    <w:rsid w:val="00DF0056"/>
    <w:rsid w:val="00DF1697"/>
    <w:rsid w:val="00DF2A96"/>
    <w:rsid w:val="00E01BFF"/>
    <w:rsid w:val="00E03607"/>
    <w:rsid w:val="00E14BA0"/>
    <w:rsid w:val="00E21942"/>
    <w:rsid w:val="00E21E9B"/>
    <w:rsid w:val="00E22330"/>
    <w:rsid w:val="00E2459A"/>
    <w:rsid w:val="00E36C9E"/>
    <w:rsid w:val="00E42E97"/>
    <w:rsid w:val="00E52092"/>
    <w:rsid w:val="00E61AA5"/>
    <w:rsid w:val="00E62368"/>
    <w:rsid w:val="00E660F9"/>
    <w:rsid w:val="00E7181B"/>
    <w:rsid w:val="00E72906"/>
    <w:rsid w:val="00E732C3"/>
    <w:rsid w:val="00E73445"/>
    <w:rsid w:val="00E76359"/>
    <w:rsid w:val="00E82000"/>
    <w:rsid w:val="00E8331B"/>
    <w:rsid w:val="00E83C62"/>
    <w:rsid w:val="00E840ED"/>
    <w:rsid w:val="00E847E1"/>
    <w:rsid w:val="00E87CFB"/>
    <w:rsid w:val="00E95017"/>
    <w:rsid w:val="00E967E8"/>
    <w:rsid w:val="00EA1C30"/>
    <w:rsid w:val="00EA1EE1"/>
    <w:rsid w:val="00EA2718"/>
    <w:rsid w:val="00EA5BD2"/>
    <w:rsid w:val="00EA70CB"/>
    <w:rsid w:val="00EB0EE3"/>
    <w:rsid w:val="00EB2FEF"/>
    <w:rsid w:val="00EB6ADC"/>
    <w:rsid w:val="00EC3D3B"/>
    <w:rsid w:val="00ED40D2"/>
    <w:rsid w:val="00ED61EE"/>
    <w:rsid w:val="00ED7249"/>
    <w:rsid w:val="00EE2FCB"/>
    <w:rsid w:val="00EF02D0"/>
    <w:rsid w:val="00EF143C"/>
    <w:rsid w:val="00EF2894"/>
    <w:rsid w:val="00EF5255"/>
    <w:rsid w:val="00F0119D"/>
    <w:rsid w:val="00F06410"/>
    <w:rsid w:val="00F10BFD"/>
    <w:rsid w:val="00F127EF"/>
    <w:rsid w:val="00F12943"/>
    <w:rsid w:val="00F16D4A"/>
    <w:rsid w:val="00F205CD"/>
    <w:rsid w:val="00F22467"/>
    <w:rsid w:val="00F271A2"/>
    <w:rsid w:val="00F300B0"/>
    <w:rsid w:val="00F30A2E"/>
    <w:rsid w:val="00F3437B"/>
    <w:rsid w:val="00F346F9"/>
    <w:rsid w:val="00F348CD"/>
    <w:rsid w:val="00F36980"/>
    <w:rsid w:val="00F42A44"/>
    <w:rsid w:val="00F43594"/>
    <w:rsid w:val="00F44031"/>
    <w:rsid w:val="00F539A2"/>
    <w:rsid w:val="00F65124"/>
    <w:rsid w:val="00F716A8"/>
    <w:rsid w:val="00F71826"/>
    <w:rsid w:val="00F71D13"/>
    <w:rsid w:val="00F73849"/>
    <w:rsid w:val="00F832FE"/>
    <w:rsid w:val="00F92ECE"/>
    <w:rsid w:val="00F9482F"/>
    <w:rsid w:val="00F964D3"/>
    <w:rsid w:val="00FA7B8E"/>
    <w:rsid w:val="00FB1E4C"/>
    <w:rsid w:val="00FC1A10"/>
    <w:rsid w:val="00FC2B8B"/>
    <w:rsid w:val="00FC5675"/>
    <w:rsid w:val="00FC6678"/>
    <w:rsid w:val="00FD4C4E"/>
    <w:rsid w:val="00FD76EF"/>
    <w:rsid w:val="00FE030E"/>
    <w:rsid w:val="00FE0A11"/>
    <w:rsid w:val="00FE17FD"/>
    <w:rsid w:val="00FE19E7"/>
    <w:rsid w:val="00FE7B55"/>
    <w:rsid w:val="00FF4442"/>
    <w:rsid w:val="00FF5A5A"/>
    <w:rsid w:val="0155E9B6"/>
    <w:rsid w:val="03271FE9"/>
    <w:rsid w:val="04D37CEE"/>
    <w:rsid w:val="052E2D54"/>
    <w:rsid w:val="05F2F5FE"/>
    <w:rsid w:val="065F4BB8"/>
    <w:rsid w:val="06B6BABF"/>
    <w:rsid w:val="09EFB7A2"/>
    <w:rsid w:val="0B1454D0"/>
    <w:rsid w:val="0DE091F2"/>
    <w:rsid w:val="0E07DE36"/>
    <w:rsid w:val="0E6A4D40"/>
    <w:rsid w:val="0E6E9F0D"/>
    <w:rsid w:val="0EACD5B9"/>
    <w:rsid w:val="10C8913A"/>
    <w:rsid w:val="11DB3863"/>
    <w:rsid w:val="13A638DE"/>
    <w:rsid w:val="13EBFE23"/>
    <w:rsid w:val="160D062E"/>
    <w:rsid w:val="18864BFD"/>
    <w:rsid w:val="1BC155E2"/>
    <w:rsid w:val="1DD92EDD"/>
    <w:rsid w:val="1E78A3E4"/>
    <w:rsid w:val="20A391DA"/>
    <w:rsid w:val="213CBF0C"/>
    <w:rsid w:val="218A7838"/>
    <w:rsid w:val="2196402C"/>
    <w:rsid w:val="21EC79F4"/>
    <w:rsid w:val="23AE8FDB"/>
    <w:rsid w:val="25A1E131"/>
    <w:rsid w:val="25BA8C4F"/>
    <w:rsid w:val="25C3D3BD"/>
    <w:rsid w:val="25D5E126"/>
    <w:rsid w:val="26D8F9FE"/>
    <w:rsid w:val="27485DB4"/>
    <w:rsid w:val="280F3839"/>
    <w:rsid w:val="2823BA89"/>
    <w:rsid w:val="29D58F69"/>
    <w:rsid w:val="2B526E90"/>
    <w:rsid w:val="2BCF5C3B"/>
    <w:rsid w:val="2BD157C8"/>
    <w:rsid w:val="2CC20839"/>
    <w:rsid w:val="2E080D76"/>
    <w:rsid w:val="2E70FD7C"/>
    <w:rsid w:val="308CE62E"/>
    <w:rsid w:val="30A0C5C1"/>
    <w:rsid w:val="30CFD852"/>
    <w:rsid w:val="34FEDFA7"/>
    <w:rsid w:val="368BA70F"/>
    <w:rsid w:val="369F593A"/>
    <w:rsid w:val="371856E5"/>
    <w:rsid w:val="374C9155"/>
    <w:rsid w:val="374D3F58"/>
    <w:rsid w:val="375BD748"/>
    <w:rsid w:val="383814D8"/>
    <w:rsid w:val="38B4911A"/>
    <w:rsid w:val="3B008945"/>
    <w:rsid w:val="3BA2837A"/>
    <w:rsid w:val="3C53924A"/>
    <w:rsid w:val="3CB12B5E"/>
    <w:rsid w:val="3D067019"/>
    <w:rsid w:val="3F5437B4"/>
    <w:rsid w:val="3F923CFA"/>
    <w:rsid w:val="40C884A9"/>
    <w:rsid w:val="41641B85"/>
    <w:rsid w:val="41D7D9E1"/>
    <w:rsid w:val="44AB56BC"/>
    <w:rsid w:val="453F7431"/>
    <w:rsid w:val="47E32624"/>
    <w:rsid w:val="48B9734A"/>
    <w:rsid w:val="4959E5F3"/>
    <w:rsid w:val="4BE621DD"/>
    <w:rsid w:val="4CBEDA62"/>
    <w:rsid w:val="4CCE9515"/>
    <w:rsid w:val="4DD2CB84"/>
    <w:rsid w:val="50F06A75"/>
    <w:rsid w:val="50F50845"/>
    <w:rsid w:val="511E37BC"/>
    <w:rsid w:val="5305EDC2"/>
    <w:rsid w:val="53BD2348"/>
    <w:rsid w:val="546A92CD"/>
    <w:rsid w:val="54830A3B"/>
    <w:rsid w:val="560C8024"/>
    <w:rsid w:val="5898401E"/>
    <w:rsid w:val="5B31A40B"/>
    <w:rsid w:val="5B686FB7"/>
    <w:rsid w:val="5B878019"/>
    <w:rsid w:val="5CA98C24"/>
    <w:rsid w:val="5DA99854"/>
    <w:rsid w:val="5E5C0721"/>
    <w:rsid w:val="5EDF671A"/>
    <w:rsid w:val="5F770E7E"/>
    <w:rsid w:val="61E92C20"/>
    <w:rsid w:val="63EBA826"/>
    <w:rsid w:val="663B0077"/>
    <w:rsid w:val="6A4B926E"/>
    <w:rsid w:val="6A997622"/>
    <w:rsid w:val="6BC0EBE4"/>
    <w:rsid w:val="6FC62043"/>
    <w:rsid w:val="70C8D37E"/>
    <w:rsid w:val="737CE7B6"/>
    <w:rsid w:val="7433E11C"/>
    <w:rsid w:val="76B730A9"/>
    <w:rsid w:val="7832F1F8"/>
    <w:rsid w:val="7871484E"/>
    <w:rsid w:val="79BE70E0"/>
    <w:rsid w:val="7D47A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34EEC3"/>
  <w15:docId w15:val="{6C03D76B-DA03-406D-A78D-61B9D3E78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1204C"/>
        <w:lang w:val="fr-FR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60" w:lineRule="atLeast"/>
    </w:pPr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line="276" w:lineRule="auto"/>
      <w:ind w:left="708"/>
      <w:outlineLvl w:val="0"/>
    </w:pPr>
    <w:rPr>
      <w:rFonts w:eastAsia="MS Gothic"/>
      <w:b/>
      <w:bCs/>
      <w:color w:val="17153B"/>
      <w:sz w:val="28"/>
      <w:szCs w:val="28"/>
      <w:lang w:val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ind w:left="708"/>
      <w:outlineLvl w:val="1"/>
    </w:pPr>
    <w:rPr>
      <w:rFonts w:eastAsia="MS Gothic"/>
      <w:b/>
      <w:bCs/>
      <w:color w:val="201C50"/>
      <w:sz w:val="26"/>
      <w:szCs w:val="26"/>
      <w:lang w:val="en-U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ind w:left="708"/>
      <w:outlineLvl w:val="2"/>
    </w:pPr>
    <w:rPr>
      <w:rFonts w:eastAsia="MS Gothic"/>
      <w:b/>
      <w:bCs/>
      <w:color w:val="201C50"/>
      <w:szCs w:val="22"/>
      <w:lang w:val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pPr>
      <w:spacing w:line="240" w:lineRule="auto"/>
    </w:pPr>
    <w:rPr>
      <w:rFonts w:ascii="Century Gothic" w:hAnsi="Century Gothic"/>
      <w:color w:val="auto"/>
      <w:sz w:val="28"/>
    </w:rPr>
  </w:style>
  <w:style w:type="paragraph" w:styleId="Piedepgina">
    <w:name w:val="footer"/>
    <w:basedOn w:val="Normal"/>
    <w:pPr>
      <w:tabs>
        <w:tab w:val="center" w:pos="4536"/>
        <w:tab w:val="right" w:pos="9072"/>
      </w:tabs>
      <w:spacing w:line="240" w:lineRule="auto"/>
    </w:pPr>
  </w:style>
  <w:style w:type="paragraph" w:customStyle="1" w:styleId="EdenredDate">
    <w:name w:val="Edenred Date"/>
    <w:basedOn w:val="Encabezado"/>
    <w:pPr>
      <w:jc w:val="right"/>
    </w:pPr>
    <w:rPr>
      <w:sz w:val="20"/>
    </w:rPr>
  </w:style>
  <w:style w:type="paragraph" w:customStyle="1" w:styleId="EdenredTitle">
    <w:name w:val="Edenred Title"/>
    <w:basedOn w:val="Text"/>
    <w:rPr>
      <w:color w:val="162056"/>
      <w:sz w:val="40"/>
      <w:szCs w:val="40"/>
    </w:rPr>
  </w:style>
  <w:style w:type="paragraph" w:customStyle="1" w:styleId="Edenredsubtitle">
    <w:name w:val="Edenred subtitle"/>
    <w:basedOn w:val="Normal"/>
    <w:pPr>
      <w:spacing w:line="254" w:lineRule="auto"/>
      <w:jc w:val="both"/>
    </w:pPr>
    <w:rPr>
      <w:rFonts w:ascii="Century Gothic" w:hAnsi="Century Gothic"/>
      <w:color w:val="003591"/>
      <w:sz w:val="30"/>
      <w:szCs w:val="30"/>
      <w:lang w:val="en-US"/>
    </w:rPr>
  </w:style>
  <w:style w:type="paragraph" w:customStyle="1" w:styleId="Text">
    <w:name w:val="Text"/>
    <w:basedOn w:val="Normal"/>
    <w:pPr>
      <w:spacing w:line="254" w:lineRule="auto"/>
      <w:jc w:val="both"/>
    </w:pPr>
    <w:rPr>
      <w:rFonts w:ascii="Century Gothic" w:hAnsi="Century Gothic"/>
      <w:color w:val="auto"/>
      <w:lang w:val="en-US"/>
    </w:rPr>
  </w:style>
  <w:style w:type="character" w:customStyle="1" w:styleId="PiedepginaCar">
    <w:name w:val="Pie de página Car"/>
    <w:basedOn w:val="Fuentedeprrafopredeter"/>
    <w:rPr>
      <w:rFonts w:ascii="Arial" w:hAnsi="Arial"/>
      <w:color w:val="11204C"/>
      <w:lang w:eastAsia="en-US"/>
    </w:rPr>
  </w:style>
  <w:style w:type="paragraph" w:styleId="Textodeglobo">
    <w:name w:val="Balloon Text"/>
    <w:basedOn w:val="Normal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color w:val="11204C"/>
      <w:sz w:val="16"/>
      <w:szCs w:val="16"/>
      <w:lang w:eastAsia="en-US"/>
    </w:rPr>
  </w:style>
  <w:style w:type="paragraph" w:customStyle="1" w:styleId="Page">
    <w:name w:val="Page"/>
    <w:basedOn w:val="Normal"/>
    <w:pPr>
      <w:jc w:val="right"/>
    </w:pPr>
    <w:rPr>
      <w:sz w:val="16"/>
    </w:rPr>
  </w:style>
  <w:style w:type="character" w:customStyle="1" w:styleId="TextCar">
    <w:name w:val="Text Car"/>
    <w:rPr>
      <w:rFonts w:ascii="Century Gothic" w:hAnsi="Century Gothic" w:cs="Arial"/>
      <w:lang w:val="en-US" w:eastAsia="en-US"/>
    </w:rPr>
  </w:style>
  <w:style w:type="paragraph" w:styleId="Textonotapie">
    <w:name w:val="footnote text"/>
    <w:basedOn w:val="Normal"/>
    <w:pPr>
      <w:spacing w:line="240" w:lineRule="auto"/>
    </w:pPr>
    <w:rPr>
      <w:rFonts w:ascii="Century Gothic" w:hAnsi="Century Gothic"/>
      <w:color w:val="auto"/>
      <w:sz w:val="14"/>
    </w:rPr>
  </w:style>
  <w:style w:type="character" w:customStyle="1" w:styleId="TextonotapieCar">
    <w:name w:val="Texto nota pie Car"/>
    <w:rPr>
      <w:rFonts w:ascii="Century Gothic" w:hAnsi="Century Gothic"/>
      <w:sz w:val="14"/>
      <w:lang w:eastAsia="en-US"/>
    </w:rPr>
  </w:style>
  <w:style w:type="character" w:styleId="Refdenotaalpie">
    <w:name w:val="footnote reference"/>
    <w:rPr>
      <w:position w:val="0"/>
      <w:vertAlign w:val="superscript"/>
    </w:rPr>
  </w:style>
  <w:style w:type="character" w:customStyle="1" w:styleId="Ttulo1Car">
    <w:name w:val="Título 1 Car"/>
    <w:rPr>
      <w:rFonts w:ascii="Arial" w:eastAsia="MS Gothic" w:hAnsi="Arial"/>
      <w:b/>
      <w:bCs/>
      <w:color w:val="17153B"/>
      <w:sz w:val="28"/>
      <w:szCs w:val="28"/>
      <w:lang w:val="en-US" w:eastAsia="en-US"/>
    </w:rPr>
  </w:style>
  <w:style w:type="character" w:customStyle="1" w:styleId="Ttulo2Car">
    <w:name w:val="Título 2 Car"/>
    <w:rPr>
      <w:rFonts w:ascii="Arial" w:eastAsia="MS Gothic" w:hAnsi="Arial"/>
      <w:b/>
      <w:bCs/>
      <w:color w:val="201C50"/>
      <w:sz w:val="26"/>
      <w:szCs w:val="26"/>
      <w:lang w:val="en-US" w:eastAsia="en-US"/>
    </w:rPr>
  </w:style>
  <w:style w:type="character" w:customStyle="1" w:styleId="Ttulo3Car">
    <w:name w:val="Título 3 Car"/>
    <w:rPr>
      <w:rFonts w:ascii="Arial" w:eastAsia="MS Gothic" w:hAnsi="Arial"/>
      <w:b/>
      <w:bCs/>
      <w:color w:val="201C50"/>
      <w:szCs w:val="22"/>
      <w:lang w:val="en-US" w:eastAsia="en-US"/>
    </w:rPr>
  </w:style>
  <w:style w:type="paragraph" w:customStyle="1" w:styleId="Title1">
    <w:name w:val="Title 1"/>
    <w:basedOn w:val="Normal"/>
    <w:pPr>
      <w:spacing w:line="254" w:lineRule="auto"/>
      <w:jc w:val="both"/>
    </w:pPr>
    <w:rPr>
      <w:rFonts w:ascii="Century Gothic" w:hAnsi="Century Gothic"/>
      <w:b/>
      <w:color w:val="003591"/>
      <w:sz w:val="28"/>
      <w:szCs w:val="28"/>
      <w:lang w:val="en-US" w:eastAsia="fr-FR"/>
    </w:rPr>
  </w:style>
  <w:style w:type="character" w:customStyle="1" w:styleId="Title1Car">
    <w:name w:val="Title 1 Car"/>
    <w:rPr>
      <w:rFonts w:ascii="Century Gothic" w:hAnsi="Century Gothic" w:cs="Arial"/>
      <w:b/>
      <w:color w:val="003591"/>
      <w:sz w:val="28"/>
      <w:szCs w:val="28"/>
      <w:lang w:val="en-US"/>
    </w:rPr>
  </w:style>
  <w:style w:type="paragraph" w:customStyle="1" w:styleId="Title2">
    <w:name w:val="Title 2"/>
    <w:basedOn w:val="Normal"/>
    <w:next w:val="Normal"/>
    <w:pPr>
      <w:spacing w:line="276" w:lineRule="auto"/>
      <w:jc w:val="both"/>
    </w:pPr>
    <w:rPr>
      <w:rFonts w:ascii="Century Gothic" w:hAnsi="Century Gothic"/>
      <w:b/>
      <w:color w:val="003591"/>
      <w:sz w:val="24"/>
      <w:szCs w:val="24"/>
      <w:lang w:val="en-US"/>
    </w:rPr>
  </w:style>
  <w:style w:type="character" w:customStyle="1" w:styleId="Title2Car">
    <w:name w:val="Title 2 Car"/>
    <w:rPr>
      <w:rFonts w:ascii="Century Gothic" w:hAnsi="Century Gothic" w:cs="Arial"/>
      <w:b/>
      <w:color w:val="003591"/>
      <w:sz w:val="24"/>
      <w:szCs w:val="24"/>
      <w:lang w:val="en-US" w:eastAsia="en-US"/>
    </w:rPr>
  </w:style>
  <w:style w:type="paragraph" w:customStyle="1" w:styleId="BulletLead-in1">
    <w:name w:val="Bullet Lead-in 1"/>
    <w:basedOn w:val="Normal"/>
    <w:pPr>
      <w:spacing w:line="254" w:lineRule="auto"/>
      <w:contextualSpacing/>
      <w:jc w:val="both"/>
    </w:pPr>
    <w:rPr>
      <w:rFonts w:ascii="Century Gothic" w:hAnsi="Century Gothic"/>
      <w:b/>
      <w:color w:val="auto"/>
      <w:lang w:val="en-US"/>
    </w:rPr>
  </w:style>
  <w:style w:type="character" w:customStyle="1" w:styleId="BulletLead-in1Car">
    <w:name w:val="Bullet Lead-in 1 Car"/>
    <w:rPr>
      <w:rFonts w:ascii="Century Gothic" w:hAnsi="Century Gothic" w:cs="Arial"/>
      <w:b/>
      <w:lang w:val="en-US" w:eastAsia="en-US"/>
    </w:rPr>
  </w:style>
  <w:style w:type="paragraph" w:customStyle="1" w:styleId="BulletLead-in2">
    <w:name w:val="Bullet Lead-in 2"/>
    <w:basedOn w:val="Normal"/>
    <w:pPr>
      <w:numPr>
        <w:numId w:val="1"/>
      </w:numPr>
    </w:pPr>
    <w:rPr>
      <w:rFonts w:ascii="Century Gothic" w:hAnsi="Century Gothic"/>
      <w:color w:val="auto"/>
    </w:rPr>
  </w:style>
  <w:style w:type="character" w:customStyle="1" w:styleId="BulletLead-in2Car">
    <w:name w:val="Bullet Lead-in 2 Car"/>
    <w:rPr>
      <w:rFonts w:ascii="Century Gothic" w:hAnsi="Century Gothic"/>
      <w:lang w:eastAsia="en-US"/>
    </w:rPr>
  </w:style>
  <w:style w:type="paragraph" w:styleId="TtuloTDC">
    <w:name w:val="TOC Heading"/>
    <w:basedOn w:val="Ttulo1"/>
    <w:next w:val="Normal"/>
    <w:rPr>
      <w:lang w:eastAsia="fr-FR"/>
    </w:rPr>
  </w:style>
  <w:style w:type="paragraph" w:styleId="Textoindependiente">
    <w:name w:val="Body Text"/>
    <w:basedOn w:val="Normal"/>
    <w:pPr>
      <w:spacing w:after="120" w:line="276" w:lineRule="auto"/>
      <w:ind w:left="708"/>
    </w:pPr>
    <w:rPr>
      <w:color w:val="002060"/>
      <w:szCs w:val="22"/>
      <w:lang w:val="en-US"/>
    </w:rPr>
  </w:style>
  <w:style w:type="character" w:customStyle="1" w:styleId="TextoindependienteCar">
    <w:name w:val="Texto independiente Car"/>
    <w:rPr>
      <w:rFonts w:ascii="Arial" w:eastAsia="Arial" w:hAnsi="Arial"/>
      <w:color w:val="002060"/>
      <w:szCs w:val="22"/>
      <w:lang w:val="en-US" w:eastAsia="en-US"/>
    </w:rPr>
  </w:style>
  <w:style w:type="character" w:customStyle="1" w:styleId="EncabezadoCar">
    <w:name w:val="Encabezado Car"/>
    <w:rPr>
      <w:rFonts w:ascii="Century Gothic" w:hAnsi="Century Gothic"/>
      <w:sz w:val="28"/>
      <w:lang w:eastAsia="en-US"/>
    </w:rPr>
  </w:style>
  <w:style w:type="character" w:styleId="Hipervnculo">
    <w:name w:val="Hyperlink"/>
    <w:rPr>
      <w:color w:val="55517B"/>
    </w:rPr>
  </w:style>
  <w:style w:type="paragraph" w:styleId="Textonotaalfinal">
    <w:name w:val="endnote text"/>
    <w:basedOn w:val="Normal"/>
    <w:pPr>
      <w:spacing w:line="240" w:lineRule="auto"/>
      <w:ind w:left="708"/>
    </w:pPr>
    <w:rPr>
      <w:color w:val="002060"/>
      <w:lang w:val="en-US"/>
    </w:rPr>
  </w:style>
  <w:style w:type="character" w:customStyle="1" w:styleId="TextonotaalfinalCar">
    <w:name w:val="Texto nota al final Car"/>
    <w:rPr>
      <w:rFonts w:ascii="Arial" w:eastAsia="Arial" w:hAnsi="Arial"/>
      <w:color w:val="002060"/>
      <w:lang w:val="en-US" w:eastAsia="en-US"/>
    </w:rPr>
  </w:style>
  <w:style w:type="character" w:styleId="Refdenotaalfinal">
    <w:name w:val="endnote reference"/>
    <w:rPr>
      <w:position w:val="0"/>
      <w:vertAlign w:val="superscript"/>
    </w:rPr>
  </w:style>
  <w:style w:type="character" w:styleId="Refdecomentario">
    <w:name w:val="annotation reference"/>
    <w:rPr>
      <w:sz w:val="16"/>
      <w:szCs w:val="16"/>
    </w:rPr>
  </w:style>
  <w:style w:type="paragraph" w:styleId="Textocomentario">
    <w:name w:val="annotation text"/>
    <w:basedOn w:val="Normal"/>
    <w:pPr>
      <w:spacing w:after="200" w:line="240" w:lineRule="auto"/>
      <w:ind w:left="708"/>
    </w:pPr>
    <w:rPr>
      <w:color w:val="002060"/>
      <w:lang w:val="en-US"/>
    </w:rPr>
  </w:style>
  <w:style w:type="character" w:customStyle="1" w:styleId="TextocomentarioCar">
    <w:name w:val="Texto comentario Car"/>
    <w:rPr>
      <w:rFonts w:ascii="Arial" w:eastAsia="Arial" w:hAnsi="Arial"/>
      <w:color w:val="002060"/>
      <w:lang w:val="en-US" w:eastAsia="en-US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rPr>
      <w:rFonts w:ascii="Arial" w:eastAsia="Arial" w:hAnsi="Arial"/>
      <w:b/>
      <w:bCs/>
      <w:color w:val="002060"/>
      <w:lang w:val="en-US" w:eastAsia="en-US"/>
    </w:rPr>
  </w:style>
  <w:style w:type="paragraph" w:styleId="Revisin">
    <w:name w:val="Revision"/>
    <w:pPr>
      <w:suppressAutoHyphens/>
    </w:pPr>
    <w:rPr>
      <w:color w:val="002060"/>
      <w:szCs w:val="22"/>
      <w:lang w:val="en-US" w:eastAsia="en-US"/>
    </w:rPr>
  </w:style>
  <w:style w:type="character" w:styleId="Hipervnculovisitado">
    <w:name w:val="FollowedHyperlink"/>
    <w:rPr>
      <w:color w:val="0F004E"/>
      <w:u w:val="single"/>
    </w:rPr>
  </w:style>
  <w:style w:type="paragraph" w:customStyle="1" w:styleId="Tablecaptiontext">
    <w:name w:val="Table caption text"/>
    <w:basedOn w:val="Normal"/>
    <w:pPr>
      <w:spacing w:line="260" w:lineRule="exact"/>
      <w:ind w:right="113"/>
    </w:pPr>
    <w:rPr>
      <w:rFonts w:ascii="Century Gothic" w:hAnsi="Century Gothic"/>
      <w:color w:val="auto"/>
      <w:sz w:val="16"/>
      <w:lang w:val="en-GB" w:eastAsia="fr-FR"/>
    </w:rPr>
  </w:style>
  <w:style w:type="paragraph" w:customStyle="1" w:styleId="Tablecolumntitle">
    <w:name w:val="Table column title"/>
    <w:basedOn w:val="Normal"/>
    <w:pPr>
      <w:spacing w:line="260" w:lineRule="exact"/>
      <w:ind w:left="113" w:right="113"/>
      <w:jc w:val="right"/>
    </w:pPr>
    <w:rPr>
      <w:rFonts w:ascii="Century Gothic" w:hAnsi="Century Gothic"/>
      <w:color w:val="auto"/>
      <w:sz w:val="16"/>
      <w:lang w:val="en-GB" w:eastAsia="fr-FR"/>
    </w:rPr>
  </w:style>
  <w:style w:type="character" w:customStyle="1" w:styleId="BoilerPlateChar">
    <w:name w:val="Boiler Plate Char"/>
    <w:rPr>
      <w:rFonts w:ascii="Century Gothic" w:eastAsia="Calibri" w:hAnsi="Century Gothic" w:cs="Calibri"/>
      <w:sz w:val="16"/>
      <w:szCs w:val="14"/>
      <w:lang w:val="en-US" w:eastAsia="en-US"/>
    </w:rPr>
  </w:style>
  <w:style w:type="paragraph" w:customStyle="1" w:styleId="BoilerPlate">
    <w:name w:val="Boiler Plate"/>
    <w:basedOn w:val="Normal"/>
    <w:pPr>
      <w:spacing w:line="254" w:lineRule="auto"/>
      <w:jc w:val="both"/>
    </w:pPr>
    <w:rPr>
      <w:rFonts w:ascii="Century Gothic" w:eastAsia="Calibri" w:hAnsi="Century Gothic" w:cs="Calibri"/>
      <w:color w:val="auto"/>
      <w:sz w:val="16"/>
      <w:szCs w:val="14"/>
      <w:lang w:val="en-US"/>
    </w:rPr>
  </w:style>
  <w:style w:type="paragraph" w:customStyle="1" w:styleId="Pagefooter">
    <w:name w:val="Page footer"/>
    <w:basedOn w:val="Normal"/>
    <w:pPr>
      <w:spacing w:line="200" w:lineRule="exact"/>
      <w:ind w:right="-199"/>
      <w:jc w:val="right"/>
    </w:pPr>
    <w:rPr>
      <w:color w:val="D52B1E"/>
      <w:sz w:val="12"/>
      <w:lang w:eastAsia="fr-FR"/>
    </w:rPr>
  </w:style>
  <w:style w:type="paragraph" w:customStyle="1" w:styleId="Title3">
    <w:name w:val="Title 3"/>
    <w:basedOn w:val="Normal"/>
    <w:pPr>
      <w:spacing w:line="254" w:lineRule="auto"/>
    </w:pPr>
    <w:rPr>
      <w:rFonts w:ascii="Century Gothic" w:hAnsi="Century Gothic"/>
      <w:b/>
      <w:color w:val="003591"/>
      <w:lang w:val="en-US"/>
    </w:rPr>
  </w:style>
  <w:style w:type="character" w:customStyle="1" w:styleId="Title3Car">
    <w:name w:val="Title 3 Car"/>
    <w:basedOn w:val="Fuentedeprrafopredeter"/>
    <w:rPr>
      <w:rFonts w:ascii="Century Gothic" w:hAnsi="Century Gothic" w:cs="Arial"/>
      <w:b/>
      <w:color w:val="003591"/>
      <w:lang w:val="en-US" w:eastAsia="en-US"/>
    </w:rPr>
  </w:style>
  <w:style w:type="paragraph" w:customStyle="1" w:styleId="Lead-in">
    <w:name w:val="Lead-in"/>
    <w:basedOn w:val="Text"/>
  </w:style>
  <w:style w:type="character" w:customStyle="1" w:styleId="Lead-inCar">
    <w:name w:val="Lead-in Car"/>
    <w:basedOn w:val="TextCar"/>
    <w:rPr>
      <w:rFonts w:ascii="Century Gothic" w:hAnsi="Century Gothic" w:cs="Arial"/>
      <w:lang w:val="en-US" w:eastAsia="en-US"/>
    </w:rPr>
  </w:style>
  <w:style w:type="paragraph" w:customStyle="1" w:styleId="BoxBullet1">
    <w:name w:val="Box Bullet 1"/>
    <w:pPr>
      <w:numPr>
        <w:numId w:val="2"/>
      </w:numPr>
      <w:suppressAutoHyphens/>
    </w:pPr>
    <w:rPr>
      <w:rFonts w:ascii="Century Gothic" w:hAnsi="Century Gothic"/>
      <w:b/>
      <w:color w:val="003591"/>
      <w:lang w:val="en-U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customStyle="1" w:styleId="BoxBullet2">
    <w:name w:val="Box Bullet 2"/>
    <w:pPr>
      <w:tabs>
        <w:tab w:val="num" w:pos="720"/>
      </w:tabs>
      <w:suppressAutoHyphens/>
      <w:ind w:left="720" w:hanging="720"/>
    </w:pPr>
    <w:rPr>
      <w:rFonts w:ascii="Century Gothic" w:hAnsi="Century Gothic"/>
      <w:lang w:eastAsia="en-US"/>
    </w:rPr>
  </w:style>
  <w:style w:type="character" w:customStyle="1" w:styleId="PrrafodelistaCar">
    <w:name w:val="Párrafo de lista Car"/>
    <w:rPr>
      <w:rFonts w:ascii="Arial" w:hAnsi="Arial"/>
      <w:color w:val="11204C"/>
      <w:lang w:eastAsia="en-US"/>
    </w:rPr>
  </w:style>
  <w:style w:type="paragraph" w:styleId="NormalWeb">
    <w:name w:val="Normal (Web)"/>
    <w:basedOn w:val="Normal"/>
    <w:uiPriority w:val="99"/>
    <w:pPr>
      <w:spacing w:line="240" w:lineRule="auto"/>
    </w:pPr>
    <w:rPr>
      <w:rFonts w:ascii="Calibri" w:eastAsia="Century Gothic" w:hAnsi="Calibri" w:cs="Calibri"/>
      <w:color w:val="auto"/>
      <w:sz w:val="22"/>
      <w:szCs w:val="22"/>
      <w:lang w:val="en-US" w:eastAsia="fr-FR"/>
    </w:rPr>
  </w:style>
  <w:style w:type="paragraph" w:customStyle="1" w:styleId="paragraph">
    <w:name w:val="paragraph"/>
    <w:basedOn w:val="Normal"/>
    <w:pPr>
      <w:spacing w:before="100" w:after="100" w:line="240" w:lineRule="auto"/>
    </w:pPr>
    <w:rPr>
      <w:rFonts w:ascii="Times New Roman" w:hAnsi="Times New Roman"/>
      <w:color w:val="auto"/>
      <w:sz w:val="24"/>
      <w:szCs w:val="24"/>
      <w:lang w:eastAsia="fr-FR"/>
    </w:rPr>
  </w:style>
  <w:style w:type="character" w:customStyle="1" w:styleId="normaltextrun">
    <w:name w:val="normaltextrun"/>
    <w:basedOn w:val="Fuentedeprrafopredeter"/>
  </w:style>
  <w:style w:type="character" w:customStyle="1" w:styleId="eop">
    <w:name w:val="eop"/>
    <w:basedOn w:val="Fuentedeprrafopredeter"/>
  </w:style>
  <w:style w:type="character" w:styleId="Mencinsinresolver">
    <w:name w:val="Unresolved Mention"/>
    <w:basedOn w:val="Fuentedeprrafopredeter"/>
    <w:rPr>
      <w:color w:val="605E5C"/>
      <w:shd w:val="clear" w:color="auto" w:fill="E1DFDD"/>
    </w:rPr>
  </w:style>
  <w:style w:type="numbering" w:customStyle="1" w:styleId="LFO10">
    <w:name w:val="LFO10"/>
    <w:basedOn w:val="Sinlista"/>
  </w:style>
  <w:style w:type="numbering" w:customStyle="1" w:styleId="LFO19">
    <w:name w:val="LFO19"/>
    <w:basedOn w:val="Sinlista"/>
  </w:style>
  <w:style w:type="numbering" w:customStyle="1" w:styleId="LFO20">
    <w:name w:val="LFO20"/>
    <w:basedOn w:val="Sinlista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Ind w:w="0" w:type="nil"/>
      <w:tblCellMar>
        <w:left w:w="10" w:type="dxa"/>
        <w:right w:w="10" w:type="dxa"/>
      </w:tblCellMar>
    </w:tblPr>
  </w:style>
  <w:style w:type="table" w:customStyle="1" w:styleId="TableNormal1">
    <w:name w:val="Table Normal1"/>
    <w:rsid w:val="007A462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oennegrita">
    <w:name w:val="Strong"/>
    <w:basedOn w:val="Fuentedeprrafopredeter"/>
    <w:uiPriority w:val="22"/>
    <w:qFormat/>
    <w:rsid w:val="00352B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ldefense.com/v3/__https:/www.rtve.es/play/videos/programa/tres-cada-cuatro-espanoles-estan-insatisfechos-su-sueldo/17065704/__;!!EyGG_rL3!FEq6eA1P9gbyTAEWx87MrM8Ss5tQWDxJKkTURBfT2iW7an-hghM9fV_FRt6XfWhmMZrOeSx3wgWfGvMY3IOwx1KMBSqa_lmVIXQ$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ldefense.com/v3/__https:/www.europapress.es/economia/macroeconomia-00338/noticia-756-espanoles-insatisfecho-sueldo-2026-25-puntos-mas-edenred-20260512162747.html__;!!EyGG_rL3!FEq6eA1P9gbyTAEWx87MrM8Ss5tQWDxJKkTURBfT2iW7an-hghM9fV_FRt6XfWhmMZrOeSx3wgWfGvMY3IOwx1KMBSqaft41hIA$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ldefense.com/v3/__https:/www.larazon.es/madrid/solo-25-madrilenos-esta-satisfecho-salario_202605126a036618b5b06629960dbb80.html__;!!EyGG_rL3!FEq6eA1P9gbyTAEWx87MrM8Ss5tQWDxJKkTURBfT2iW7an-hghM9fV_FRt6XfWhmMZrOeSx3wgWfGvMY3IOwx1KMBSqabDe1a-E$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equipo.edenred@newlink-group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jandro.delgadosanchez@edenred.com" TargetMode="External"/><Relationship Id="rId14" Type="http://schemas.openxmlformats.org/officeDocument/2006/relationships/hyperlink" Target="https://urldefense.com/v3/__https:/www.telemadrid.es/programas/telenoticias-1/Tres-de-cada-cuatro-trabajadores-espanoles-estan-insatisfechos-con-su-empleo-2-2888131202--20260512032715.html__;!!EyGG_rL3!FEq6eA1P9gbyTAEWx87MrM8Ss5tQWDxJKkTURBfT2iW7an-hghM9fV_FRt6XfWhmMZrOeSx3wgWfGvMY3IOwx1KMBSqaJJjvFtM$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A4bHXuFG8ZK1f8jUvsxeC2OwKQ==">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1589</Words>
  <Characters>9808</Characters>
  <Application>Microsoft Office Word</Application>
  <DocSecurity>0</DocSecurity>
  <Lines>81</Lines>
  <Paragraphs>22</Paragraphs>
  <ScaleCrop>false</ScaleCrop>
  <Company/>
  <LinksUpToDate>false</LinksUpToDate>
  <CharactersWithSpaces>11375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COURTOIS Cécile</dc:creator>
  <cp:keywords/>
  <cp:lastModifiedBy>SÁNCHEZ Míriam</cp:lastModifiedBy>
  <cp:revision>551</cp:revision>
  <dcterms:created xsi:type="dcterms:W3CDTF">2025-06-05T04:13:00Z</dcterms:created>
  <dcterms:modified xsi:type="dcterms:W3CDTF">2026-07-21T06:33:00Z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0x010100C507B8DFC332A440B799D44257F07BA7</vt:lpwstr>
  </property>
  <property fmtid="{D5CDD505-2E9C-101B-9397-08002B2CF9AE}" pid="3" name="GrammarlyDocumentId">
    <vt:lpwstr>797d063b200a87c27582bd0be5c9c9e5374e71033a601ec6e631990873192edf</vt:lpwstr>
  </property>
  <property fmtid="{D5CDD505-2E9C-101B-9397-08002B2CF9AE}" pid="4" name="MSIP_Label_16091971-b0ef-48f5-bce1-a3196e01ad58_Enabled">
    <vt:lpwstr>true</vt:lpwstr>
  </property>
  <property fmtid="{D5CDD505-2E9C-101B-9397-08002B2CF9AE}" pid="5" name="MSIP_Label_16091971-b0ef-48f5-bce1-a3196e01ad58_SetDate">
    <vt:lpwstr>2026-07-21T06:20:53Z</vt:lpwstr>
  </property>
  <property fmtid="{D5CDD505-2E9C-101B-9397-08002B2CF9AE}" pid="6" name="MSIP_Label_16091971-b0ef-48f5-bce1-a3196e01ad58_Method">
    <vt:lpwstr>Privileged</vt:lpwstr>
  </property>
  <property fmtid="{D5CDD505-2E9C-101B-9397-08002B2CF9AE}" pid="7" name="MSIP_Label_16091971-b0ef-48f5-bce1-a3196e01ad58_Name">
    <vt:lpwstr>C2 – Internal</vt:lpwstr>
  </property>
  <property fmtid="{D5CDD505-2E9C-101B-9397-08002B2CF9AE}" pid="8" name="MSIP_Label_16091971-b0ef-48f5-bce1-a3196e01ad58_SiteId">
    <vt:lpwstr>4c1d9e0f-5c27-4228-a35a-de7b4083ff7b</vt:lpwstr>
  </property>
  <property fmtid="{D5CDD505-2E9C-101B-9397-08002B2CF9AE}" pid="9" name="MSIP_Label_16091971-b0ef-48f5-bce1-a3196e01ad58_ActionId">
    <vt:lpwstr>d82e88d6-b6a0-4de3-88ac-6b3e63ecef9a</vt:lpwstr>
  </property>
  <property fmtid="{D5CDD505-2E9C-101B-9397-08002B2CF9AE}" pid="10" name="MSIP_Label_16091971-b0ef-48f5-bce1-a3196e01ad58_ContentBits">
    <vt:lpwstr>0</vt:lpwstr>
  </property>
  <property fmtid="{D5CDD505-2E9C-101B-9397-08002B2CF9AE}" pid="11" name="MSIP_Label_16091971-b0ef-48f5-bce1-a3196e01ad58_Tag">
    <vt:lpwstr>10, 0, 1, 1</vt:lpwstr>
  </property>
</Properties>
</file>